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2673E" w14:textId="77777777" w:rsidR="00361254" w:rsidRPr="00571170" w:rsidRDefault="00361254" w:rsidP="00361254">
      <w:pPr>
        <w:widowControl/>
        <w:adjustRightInd w:val="0"/>
        <w:spacing w:line="460" w:lineRule="exact"/>
        <w:jc w:val="center"/>
        <w:rPr>
          <w:rFonts w:eastAsia="標楷體"/>
          <w:b/>
          <w:kern w:val="0"/>
          <w:sz w:val="40"/>
          <w:szCs w:val="40"/>
        </w:rPr>
      </w:pPr>
      <w:r>
        <w:rPr>
          <w:rFonts w:eastAsia="標楷體"/>
          <w:b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F7C73" wp14:editId="55B63F23">
                <wp:simplePos x="0" y="0"/>
                <wp:positionH relativeFrom="column">
                  <wp:posOffset>-192819</wp:posOffset>
                </wp:positionH>
                <wp:positionV relativeFrom="paragraph">
                  <wp:posOffset>-148065</wp:posOffset>
                </wp:positionV>
                <wp:extent cx="834887" cy="349857"/>
                <wp:effectExtent l="0" t="0" r="381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887" cy="349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90E488" w14:textId="77777777" w:rsidR="00361254" w:rsidRPr="00361254" w:rsidRDefault="00361254" w:rsidP="0036125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61254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 w:rsidRPr="00361254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DF7C7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5.2pt;margin-top:-11.65pt;width:65.75pt;height:27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" fillcolor="white [3201]" stroked="f" strokeweight=".5pt">
                <v:textbox>
                  <w:txbxContent>
                    <w:p w14:paraId="2F90E488" w14:textId="77777777" w:rsidR="00361254" w:rsidRPr="00361254" w:rsidRDefault="00361254" w:rsidP="0036125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61254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 w:rsidRPr="00361254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71170">
        <w:rPr>
          <w:rFonts w:eastAsia="標楷體"/>
          <w:b/>
          <w:kern w:val="0"/>
          <w:sz w:val="40"/>
          <w:szCs w:val="40"/>
        </w:rPr>
        <w:t>臺北市政府教育局委託</w:t>
      </w:r>
      <w:bookmarkStart w:id="0" w:name="_GoBack"/>
      <w:bookmarkEnd w:id="0"/>
      <w:r w:rsidRPr="00571170">
        <w:rPr>
          <w:rFonts w:eastAsia="標楷體"/>
          <w:b/>
          <w:kern w:val="0"/>
          <w:sz w:val="40"/>
          <w:szCs w:val="40"/>
        </w:rPr>
        <w:t>臺北市立大學辦理</w:t>
      </w:r>
    </w:p>
    <w:p w14:paraId="1D0F8C38" w14:textId="77777777" w:rsidR="00361254" w:rsidRPr="00571170" w:rsidRDefault="00361254" w:rsidP="00361254">
      <w:pPr>
        <w:widowControl/>
        <w:adjustRightInd w:val="0"/>
        <w:spacing w:line="460" w:lineRule="exact"/>
        <w:jc w:val="center"/>
        <w:rPr>
          <w:rFonts w:eastAsia="標楷體"/>
          <w:b/>
          <w:kern w:val="0"/>
          <w:sz w:val="36"/>
          <w:szCs w:val="36"/>
        </w:rPr>
      </w:pPr>
      <w:r w:rsidRPr="00571170">
        <w:rPr>
          <w:rFonts w:eastAsia="標楷體" w:hint="eastAsia"/>
          <w:b/>
          <w:kern w:val="0"/>
          <w:sz w:val="36"/>
          <w:szCs w:val="36"/>
        </w:rPr>
        <w:t>111</w:t>
      </w:r>
      <w:r w:rsidRPr="00571170">
        <w:rPr>
          <w:rFonts w:eastAsia="標楷體"/>
          <w:b/>
          <w:kern w:val="0"/>
          <w:sz w:val="36"/>
          <w:szCs w:val="36"/>
        </w:rPr>
        <w:t>學年度校長中心中小學校長培育班課程模組和科目</w:t>
      </w:r>
    </w:p>
    <w:p w14:paraId="7882F9E3" w14:textId="77777777" w:rsidR="00361254" w:rsidRPr="00571170" w:rsidRDefault="00361254" w:rsidP="00361254">
      <w:pPr>
        <w:widowControl/>
        <w:adjustRightInd w:val="0"/>
        <w:spacing w:line="460" w:lineRule="exact"/>
        <w:jc w:val="center"/>
        <w:rPr>
          <w:rFonts w:eastAsia="標楷體"/>
          <w:b/>
          <w:kern w:val="0"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5203"/>
        <w:gridCol w:w="2210"/>
      </w:tblGrid>
      <w:tr w:rsidR="00361254" w:rsidRPr="00571170" w14:paraId="4DC169EC" w14:textId="77777777" w:rsidTr="004F7117">
        <w:trPr>
          <w:trHeight w:val="457"/>
          <w:tblHeader/>
          <w:jc w:val="center"/>
        </w:trPr>
        <w:tc>
          <w:tcPr>
            <w:tcW w:w="1193" w:type="pct"/>
            <w:shd w:val="clear" w:color="auto" w:fill="DDD9C3"/>
            <w:vAlign w:val="center"/>
          </w:tcPr>
          <w:p w14:paraId="53B9667C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71170">
              <w:rPr>
                <w:rFonts w:eastAsia="標楷體"/>
                <w:b/>
                <w:sz w:val="32"/>
                <w:szCs w:val="32"/>
              </w:rPr>
              <w:t>模組</w:t>
            </w:r>
          </w:p>
        </w:tc>
        <w:tc>
          <w:tcPr>
            <w:tcW w:w="2672" w:type="pct"/>
            <w:shd w:val="clear" w:color="auto" w:fill="DDD9C3"/>
            <w:vAlign w:val="center"/>
          </w:tcPr>
          <w:p w14:paraId="0A9D87FB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71170">
              <w:rPr>
                <w:rFonts w:eastAsia="標楷體"/>
                <w:b/>
                <w:sz w:val="32"/>
                <w:szCs w:val="32"/>
              </w:rPr>
              <w:t>科目名稱</w:t>
            </w:r>
          </w:p>
        </w:tc>
        <w:tc>
          <w:tcPr>
            <w:tcW w:w="1136" w:type="pct"/>
            <w:shd w:val="clear" w:color="auto" w:fill="DDD9C3"/>
            <w:vAlign w:val="center"/>
          </w:tcPr>
          <w:p w14:paraId="58764EFF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71170">
              <w:rPr>
                <w:rFonts w:eastAsia="標楷體"/>
                <w:b/>
                <w:sz w:val="32"/>
                <w:szCs w:val="32"/>
              </w:rPr>
              <w:t>學分</w:t>
            </w:r>
          </w:p>
        </w:tc>
      </w:tr>
      <w:tr w:rsidR="00361254" w:rsidRPr="00571170" w14:paraId="03F571A6" w14:textId="77777777" w:rsidTr="004F7117">
        <w:trPr>
          <w:trHeight w:val="534"/>
          <w:jc w:val="center"/>
        </w:trPr>
        <w:tc>
          <w:tcPr>
            <w:tcW w:w="1193" w:type="pct"/>
            <w:vMerge w:val="restart"/>
            <w:shd w:val="clear" w:color="auto" w:fill="auto"/>
            <w:vAlign w:val="center"/>
          </w:tcPr>
          <w:p w14:paraId="1009620C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校長使命與專業</w:t>
            </w:r>
          </w:p>
          <w:p w14:paraId="53031BA2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3947F550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1.</w:t>
            </w:r>
            <w:r w:rsidRPr="00571170">
              <w:rPr>
                <w:rFonts w:eastAsia="標楷體"/>
                <w:sz w:val="28"/>
                <w:szCs w:val="28"/>
              </w:rPr>
              <w:t>校長學導論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189AC147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361254" w:rsidRPr="00571170" w14:paraId="58A84BDB" w14:textId="77777777" w:rsidTr="004F7117">
        <w:trPr>
          <w:trHeight w:val="689"/>
          <w:jc w:val="center"/>
        </w:trPr>
        <w:tc>
          <w:tcPr>
            <w:tcW w:w="1193" w:type="pct"/>
            <w:vMerge/>
            <w:shd w:val="clear" w:color="auto" w:fill="auto"/>
          </w:tcPr>
          <w:p w14:paraId="7A15B143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2D3E4DE1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2.</w:t>
            </w:r>
            <w:r w:rsidRPr="00571170">
              <w:rPr>
                <w:rFonts w:eastAsia="標楷體"/>
                <w:sz w:val="28"/>
                <w:szCs w:val="28"/>
              </w:rPr>
              <w:t>校長專業標準與倫理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4A3E7200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361254" w:rsidRPr="00571170" w14:paraId="089936B6" w14:textId="77777777" w:rsidTr="004F7117">
        <w:trPr>
          <w:trHeight w:val="556"/>
          <w:jc w:val="center"/>
        </w:trPr>
        <w:tc>
          <w:tcPr>
            <w:tcW w:w="1193" w:type="pct"/>
            <w:vMerge/>
            <w:shd w:val="clear" w:color="auto" w:fill="auto"/>
          </w:tcPr>
          <w:p w14:paraId="4B72F2F0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13DECDFD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3.</w:t>
            </w:r>
            <w:r w:rsidRPr="00571170">
              <w:rPr>
                <w:rFonts w:eastAsia="標楷體"/>
                <w:sz w:val="28"/>
                <w:szCs w:val="28"/>
              </w:rPr>
              <w:t>校長專業發展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65910C7E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361254" w:rsidRPr="00571170" w14:paraId="07EA9387" w14:textId="77777777" w:rsidTr="004F7117">
        <w:trPr>
          <w:trHeight w:val="566"/>
          <w:jc w:val="center"/>
        </w:trPr>
        <w:tc>
          <w:tcPr>
            <w:tcW w:w="1193" w:type="pct"/>
            <w:vMerge w:val="restart"/>
            <w:shd w:val="pct5" w:color="auto" w:fill="auto"/>
            <w:vAlign w:val="center"/>
          </w:tcPr>
          <w:p w14:paraId="78D49E09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教育政策與法規</w:t>
            </w:r>
          </w:p>
          <w:p w14:paraId="0FBFA8C6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2" w:type="pct"/>
            <w:shd w:val="pct5" w:color="auto" w:fill="auto"/>
            <w:vAlign w:val="center"/>
          </w:tcPr>
          <w:p w14:paraId="46BA5DD1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1.</w:t>
            </w:r>
            <w:r w:rsidRPr="00571170">
              <w:rPr>
                <w:rFonts w:eastAsia="標楷體"/>
                <w:sz w:val="28"/>
                <w:szCs w:val="28"/>
              </w:rPr>
              <w:t>教育政策分析</w:t>
            </w:r>
          </w:p>
        </w:tc>
        <w:tc>
          <w:tcPr>
            <w:tcW w:w="1136" w:type="pct"/>
            <w:shd w:val="pct5" w:color="auto" w:fill="auto"/>
            <w:vAlign w:val="center"/>
          </w:tcPr>
          <w:p w14:paraId="76ADE301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361254" w:rsidRPr="00571170" w14:paraId="19FFDDE9" w14:textId="77777777" w:rsidTr="004F7117">
        <w:trPr>
          <w:trHeight w:val="640"/>
          <w:jc w:val="center"/>
        </w:trPr>
        <w:tc>
          <w:tcPr>
            <w:tcW w:w="1193" w:type="pct"/>
            <w:vMerge/>
            <w:shd w:val="pct5" w:color="auto" w:fill="auto"/>
          </w:tcPr>
          <w:p w14:paraId="4D2A66C0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pct5" w:color="auto" w:fill="auto"/>
            <w:vAlign w:val="center"/>
          </w:tcPr>
          <w:p w14:paraId="6EB4C33E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2.</w:t>
            </w:r>
            <w:r w:rsidRPr="00571170">
              <w:rPr>
                <w:rFonts w:eastAsia="標楷體"/>
                <w:sz w:val="28"/>
                <w:szCs w:val="28"/>
              </w:rPr>
              <w:t>教育法律與實務</w:t>
            </w:r>
          </w:p>
        </w:tc>
        <w:tc>
          <w:tcPr>
            <w:tcW w:w="1136" w:type="pct"/>
            <w:shd w:val="pct5" w:color="auto" w:fill="auto"/>
            <w:vAlign w:val="center"/>
          </w:tcPr>
          <w:p w14:paraId="27B30627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361254" w:rsidRPr="00571170" w14:paraId="45037000" w14:textId="77777777" w:rsidTr="004F7117">
        <w:trPr>
          <w:trHeight w:val="626"/>
          <w:jc w:val="center"/>
        </w:trPr>
        <w:tc>
          <w:tcPr>
            <w:tcW w:w="1193" w:type="pct"/>
            <w:vMerge/>
            <w:shd w:val="pct5" w:color="auto" w:fill="auto"/>
          </w:tcPr>
          <w:p w14:paraId="07F10206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pct5" w:color="auto" w:fill="auto"/>
            <w:vAlign w:val="center"/>
          </w:tcPr>
          <w:p w14:paraId="43E75381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3.</w:t>
            </w:r>
            <w:r w:rsidRPr="00571170">
              <w:rPr>
                <w:rFonts w:eastAsia="標楷體"/>
                <w:sz w:val="28"/>
                <w:szCs w:val="28"/>
              </w:rPr>
              <w:t>教育制度議題分析</w:t>
            </w:r>
          </w:p>
        </w:tc>
        <w:tc>
          <w:tcPr>
            <w:tcW w:w="1136" w:type="pct"/>
            <w:shd w:val="pct5" w:color="auto" w:fill="auto"/>
            <w:vAlign w:val="center"/>
          </w:tcPr>
          <w:p w14:paraId="1C7B65F7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361254" w:rsidRPr="00571170" w14:paraId="749B8857" w14:textId="77777777" w:rsidTr="004F7117">
        <w:trPr>
          <w:trHeight w:val="611"/>
          <w:jc w:val="center"/>
        </w:trPr>
        <w:tc>
          <w:tcPr>
            <w:tcW w:w="1193" w:type="pct"/>
            <w:vMerge w:val="restart"/>
            <w:shd w:val="clear" w:color="auto" w:fill="auto"/>
            <w:vAlign w:val="center"/>
          </w:tcPr>
          <w:p w14:paraId="2FEC7D7A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學校領導與經營</w:t>
            </w:r>
          </w:p>
          <w:p w14:paraId="1E96841E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0F5741BA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1.</w:t>
            </w:r>
            <w:r w:rsidRPr="00571170">
              <w:rPr>
                <w:rFonts w:eastAsia="標楷體"/>
                <w:sz w:val="28"/>
                <w:szCs w:val="28"/>
              </w:rPr>
              <w:t>教育領導與決策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21813358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361254" w:rsidRPr="00571170" w14:paraId="554029E3" w14:textId="77777777" w:rsidTr="004F7117">
        <w:trPr>
          <w:trHeight w:val="567"/>
          <w:jc w:val="center"/>
        </w:trPr>
        <w:tc>
          <w:tcPr>
            <w:tcW w:w="1193" w:type="pct"/>
            <w:vMerge/>
            <w:shd w:val="clear" w:color="auto" w:fill="auto"/>
          </w:tcPr>
          <w:p w14:paraId="0DCA557D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263E54D5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2.</w:t>
            </w:r>
            <w:r w:rsidRPr="00571170">
              <w:rPr>
                <w:rFonts w:eastAsia="標楷體"/>
                <w:sz w:val="28"/>
                <w:szCs w:val="28"/>
              </w:rPr>
              <w:t>校園規劃與學校建築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4049409A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361254" w:rsidRPr="00571170" w14:paraId="2919CF9C" w14:textId="77777777" w:rsidTr="004F7117">
        <w:trPr>
          <w:trHeight w:val="540"/>
          <w:jc w:val="center"/>
        </w:trPr>
        <w:tc>
          <w:tcPr>
            <w:tcW w:w="1193" w:type="pct"/>
            <w:vMerge/>
            <w:shd w:val="clear" w:color="auto" w:fill="auto"/>
          </w:tcPr>
          <w:p w14:paraId="1993D06B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56AF6260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3.</w:t>
            </w:r>
            <w:r w:rsidRPr="00571170">
              <w:rPr>
                <w:rFonts w:eastAsia="標楷體"/>
                <w:sz w:val="28"/>
                <w:szCs w:val="28"/>
              </w:rPr>
              <w:t>知識管理與學校創新經營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215DDDFC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361254" w:rsidRPr="00571170" w14:paraId="010B7A5A" w14:textId="77777777" w:rsidTr="004F7117">
        <w:trPr>
          <w:trHeight w:val="562"/>
          <w:jc w:val="center"/>
        </w:trPr>
        <w:tc>
          <w:tcPr>
            <w:tcW w:w="1193" w:type="pct"/>
            <w:vMerge/>
            <w:shd w:val="clear" w:color="auto" w:fill="auto"/>
          </w:tcPr>
          <w:p w14:paraId="5E3E5CF3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1980C8D8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4.</w:t>
            </w:r>
            <w:r w:rsidRPr="00571170">
              <w:rPr>
                <w:rFonts w:eastAsia="標楷體"/>
                <w:sz w:val="28"/>
                <w:szCs w:val="28"/>
              </w:rPr>
              <w:t>學校效能與品質管理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7CA5D5E4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361254" w:rsidRPr="00571170" w14:paraId="6CE62013" w14:textId="77777777" w:rsidTr="004F7117">
        <w:trPr>
          <w:trHeight w:val="567"/>
          <w:jc w:val="center"/>
        </w:trPr>
        <w:tc>
          <w:tcPr>
            <w:tcW w:w="1193" w:type="pct"/>
            <w:vMerge w:val="restart"/>
            <w:shd w:val="pct5" w:color="auto" w:fill="auto"/>
            <w:vAlign w:val="center"/>
          </w:tcPr>
          <w:p w14:paraId="30617F2D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課程與教學領導</w:t>
            </w:r>
          </w:p>
          <w:p w14:paraId="2758A8D5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2" w:type="pct"/>
            <w:shd w:val="pct5" w:color="auto" w:fill="auto"/>
            <w:vAlign w:val="center"/>
          </w:tcPr>
          <w:p w14:paraId="0F51BD4D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1.</w:t>
            </w:r>
            <w:r w:rsidRPr="00571170">
              <w:rPr>
                <w:rFonts w:eastAsia="標楷體"/>
                <w:sz w:val="28"/>
                <w:szCs w:val="28"/>
              </w:rPr>
              <w:t>課程與教學領導</w:t>
            </w:r>
          </w:p>
        </w:tc>
        <w:tc>
          <w:tcPr>
            <w:tcW w:w="1136" w:type="pct"/>
            <w:shd w:val="pct5" w:color="auto" w:fill="auto"/>
            <w:vAlign w:val="center"/>
          </w:tcPr>
          <w:p w14:paraId="4DD7DA7F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361254" w:rsidRPr="00571170" w14:paraId="531F0DC6" w14:textId="77777777" w:rsidTr="004F7117">
        <w:trPr>
          <w:trHeight w:val="524"/>
          <w:jc w:val="center"/>
        </w:trPr>
        <w:tc>
          <w:tcPr>
            <w:tcW w:w="1193" w:type="pct"/>
            <w:vMerge/>
            <w:shd w:val="pct5" w:color="auto" w:fill="auto"/>
          </w:tcPr>
          <w:p w14:paraId="53696AA5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pct5" w:color="auto" w:fill="auto"/>
            <w:vAlign w:val="center"/>
          </w:tcPr>
          <w:p w14:paraId="0E2D0B98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2.</w:t>
            </w:r>
            <w:r w:rsidRPr="00571170">
              <w:rPr>
                <w:rFonts w:eastAsia="標楷體"/>
                <w:sz w:val="28"/>
                <w:szCs w:val="28"/>
              </w:rPr>
              <w:t>學生學習評量</w:t>
            </w:r>
            <w:r w:rsidRPr="00571170">
              <w:rPr>
                <w:rFonts w:eastAsia="標楷體"/>
                <w:sz w:val="28"/>
                <w:szCs w:val="28"/>
              </w:rPr>
              <w:t>(</w:t>
            </w:r>
            <w:r w:rsidRPr="00571170">
              <w:rPr>
                <w:rFonts w:eastAsia="標楷體"/>
                <w:sz w:val="28"/>
                <w:szCs w:val="28"/>
              </w:rPr>
              <w:t>素養導向</w:t>
            </w:r>
            <w:r w:rsidRPr="0057117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136" w:type="pct"/>
            <w:shd w:val="pct5" w:color="auto" w:fill="auto"/>
            <w:vAlign w:val="center"/>
          </w:tcPr>
          <w:p w14:paraId="71227CEA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361254" w:rsidRPr="00571170" w14:paraId="011AE3FA" w14:textId="77777777" w:rsidTr="004F7117">
        <w:trPr>
          <w:trHeight w:val="573"/>
          <w:jc w:val="center"/>
        </w:trPr>
        <w:tc>
          <w:tcPr>
            <w:tcW w:w="1193" w:type="pct"/>
            <w:vMerge/>
            <w:shd w:val="pct5" w:color="auto" w:fill="auto"/>
          </w:tcPr>
          <w:p w14:paraId="69604D01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E7704AB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3.</w:t>
            </w:r>
            <w:r w:rsidRPr="00571170">
              <w:rPr>
                <w:rFonts w:eastAsia="標楷體"/>
                <w:sz w:val="28"/>
                <w:szCs w:val="28"/>
              </w:rPr>
              <w:t>課程發展與評鑑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6FADDC7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361254" w:rsidRPr="00571170" w14:paraId="03A2F46D" w14:textId="77777777" w:rsidTr="004F7117">
        <w:trPr>
          <w:trHeight w:val="573"/>
          <w:jc w:val="center"/>
        </w:trPr>
        <w:tc>
          <w:tcPr>
            <w:tcW w:w="1193" w:type="pct"/>
            <w:vMerge w:val="restart"/>
            <w:shd w:val="clear" w:color="auto" w:fill="FFFFFF"/>
            <w:vAlign w:val="center"/>
          </w:tcPr>
          <w:p w14:paraId="7FA8A8A3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教育新興</w:t>
            </w:r>
          </w:p>
          <w:p w14:paraId="045A659D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議題</w:t>
            </w:r>
          </w:p>
          <w:p w14:paraId="1AF8E25F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11220A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1.</w:t>
            </w:r>
            <w:r w:rsidRPr="00571170">
              <w:rPr>
                <w:rFonts w:eastAsia="標楷體"/>
                <w:sz w:val="28"/>
                <w:szCs w:val="28"/>
              </w:rPr>
              <w:t>實驗教育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53B713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361254" w:rsidRPr="00571170" w14:paraId="70641144" w14:textId="77777777" w:rsidTr="004F7117">
        <w:trPr>
          <w:trHeight w:val="573"/>
          <w:jc w:val="center"/>
        </w:trPr>
        <w:tc>
          <w:tcPr>
            <w:tcW w:w="1193" w:type="pct"/>
            <w:vMerge/>
            <w:shd w:val="clear" w:color="auto" w:fill="FFFFFF"/>
          </w:tcPr>
          <w:p w14:paraId="1D87A6A2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6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105A31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2.</w:t>
            </w:r>
            <w:r w:rsidRPr="00571170">
              <w:rPr>
                <w:rFonts w:eastAsia="標楷體" w:hint="eastAsia"/>
                <w:kern w:val="0"/>
                <w:sz w:val="28"/>
                <w:szCs w:val="28"/>
              </w:rPr>
              <w:t>智慧教育</w:t>
            </w:r>
            <w:r w:rsidRPr="00571170">
              <w:rPr>
                <w:rFonts w:eastAsia="標楷體"/>
                <w:kern w:val="0"/>
                <w:sz w:val="28"/>
                <w:szCs w:val="28"/>
              </w:rPr>
              <w:t>(</w:t>
            </w:r>
            <w:proofErr w:type="gramStart"/>
            <w:r w:rsidRPr="00571170">
              <w:rPr>
                <w:rFonts w:eastAsia="標楷體" w:hint="eastAsia"/>
                <w:kern w:val="0"/>
                <w:sz w:val="28"/>
                <w:szCs w:val="28"/>
              </w:rPr>
              <w:t>含創客</w:t>
            </w:r>
            <w:proofErr w:type="gramEnd"/>
            <w:r w:rsidRPr="00571170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60F357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361254" w:rsidRPr="00571170" w14:paraId="0FE0FB92" w14:textId="77777777" w:rsidTr="004F7117">
        <w:trPr>
          <w:trHeight w:val="573"/>
          <w:jc w:val="center"/>
        </w:trPr>
        <w:tc>
          <w:tcPr>
            <w:tcW w:w="1193" w:type="pct"/>
            <w:vMerge/>
            <w:shd w:val="clear" w:color="auto" w:fill="FFFFFF"/>
          </w:tcPr>
          <w:p w14:paraId="49F7548A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6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730F45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3.</w:t>
            </w:r>
            <w:r w:rsidRPr="00571170">
              <w:rPr>
                <w:rFonts w:eastAsia="標楷體" w:hint="eastAsia"/>
                <w:kern w:val="0"/>
                <w:sz w:val="28"/>
                <w:szCs w:val="28"/>
              </w:rPr>
              <w:t>國際教育</w:t>
            </w:r>
            <w:r w:rsidRPr="00571170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571170">
              <w:rPr>
                <w:rFonts w:eastAsia="標楷體" w:hint="eastAsia"/>
                <w:kern w:val="0"/>
                <w:sz w:val="28"/>
                <w:szCs w:val="28"/>
              </w:rPr>
              <w:t>含雙語實驗、永續發展</w:t>
            </w:r>
            <w:r w:rsidRPr="00571170">
              <w:rPr>
                <w:rFonts w:eastAsia="標楷體"/>
                <w:kern w:val="0"/>
                <w:sz w:val="28"/>
                <w:szCs w:val="28"/>
              </w:rPr>
              <w:t>SDGs)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1D9B70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361254" w:rsidRPr="00571170" w14:paraId="2CB78A82" w14:textId="77777777" w:rsidTr="004F7117">
        <w:trPr>
          <w:trHeight w:val="573"/>
          <w:jc w:val="center"/>
        </w:trPr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451FC863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6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574837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4.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數位教學與數位領導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7A6669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361254" w:rsidRPr="00571170" w14:paraId="5DC7275C" w14:textId="77777777" w:rsidTr="004F7117">
        <w:trPr>
          <w:trHeight w:val="553"/>
          <w:jc w:val="center"/>
        </w:trPr>
        <w:tc>
          <w:tcPr>
            <w:tcW w:w="1193" w:type="pct"/>
            <w:vMerge w:val="restart"/>
            <w:shd w:val="clear" w:color="auto" w:fill="F2F2F2"/>
            <w:vAlign w:val="center"/>
          </w:tcPr>
          <w:p w14:paraId="18497832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校長見習</w:t>
            </w:r>
          </w:p>
          <w:p w14:paraId="5594CDE9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2" w:type="pct"/>
            <w:shd w:val="clear" w:color="auto" w:fill="F2F2F2"/>
            <w:vAlign w:val="center"/>
          </w:tcPr>
          <w:p w14:paraId="48AC42E1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1.</w:t>
            </w:r>
            <w:r w:rsidRPr="00571170">
              <w:rPr>
                <w:rFonts w:eastAsia="標楷體"/>
                <w:sz w:val="28"/>
                <w:szCs w:val="28"/>
              </w:rPr>
              <w:t>學校行政領導與經營臨床實習</w:t>
            </w:r>
          </w:p>
        </w:tc>
        <w:tc>
          <w:tcPr>
            <w:tcW w:w="1136" w:type="pct"/>
            <w:shd w:val="clear" w:color="auto" w:fill="F2F2F2"/>
            <w:vAlign w:val="center"/>
          </w:tcPr>
          <w:p w14:paraId="138E8669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361254" w:rsidRPr="00571170" w14:paraId="15DBD47B" w14:textId="77777777" w:rsidTr="004F7117">
        <w:trPr>
          <w:trHeight w:val="547"/>
          <w:jc w:val="center"/>
        </w:trPr>
        <w:tc>
          <w:tcPr>
            <w:tcW w:w="1193" w:type="pct"/>
            <w:vMerge/>
            <w:shd w:val="clear" w:color="auto" w:fill="F2F2F2"/>
          </w:tcPr>
          <w:p w14:paraId="3C3DDD9F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clear" w:color="auto" w:fill="F2F2F2"/>
            <w:vAlign w:val="center"/>
          </w:tcPr>
          <w:p w14:paraId="2C6BF780" w14:textId="77777777" w:rsidR="00361254" w:rsidRPr="00571170" w:rsidRDefault="00361254" w:rsidP="004F711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2.</w:t>
            </w:r>
            <w:r w:rsidRPr="00571170">
              <w:rPr>
                <w:rFonts w:eastAsia="標楷體"/>
                <w:sz w:val="28"/>
                <w:szCs w:val="28"/>
              </w:rPr>
              <w:t>課程與教學領導臨床實習</w:t>
            </w:r>
          </w:p>
        </w:tc>
        <w:tc>
          <w:tcPr>
            <w:tcW w:w="1136" w:type="pct"/>
            <w:shd w:val="clear" w:color="auto" w:fill="F2F2F2"/>
            <w:vAlign w:val="center"/>
          </w:tcPr>
          <w:p w14:paraId="4502C211" w14:textId="77777777" w:rsidR="00361254" w:rsidRPr="00571170" w:rsidRDefault="00361254" w:rsidP="004F711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</w:tbl>
    <w:p w14:paraId="2D731F0B" w14:textId="77777777" w:rsidR="00361254" w:rsidRPr="00846349" w:rsidRDefault="00361254" w:rsidP="00361254">
      <w:r w:rsidRPr="00571170">
        <w:rPr>
          <w:rFonts w:eastAsia="標楷體"/>
          <w:kern w:val="0"/>
        </w:rPr>
        <w:t>[</w:t>
      </w:r>
      <w:proofErr w:type="gramStart"/>
      <w:r w:rsidRPr="00571170">
        <w:rPr>
          <w:rFonts w:eastAsia="標楷體"/>
          <w:kern w:val="0"/>
        </w:rPr>
        <w:t>註</w:t>
      </w:r>
      <w:proofErr w:type="gramEnd"/>
      <w:r w:rsidRPr="00571170">
        <w:rPr>
          <w:rFonts w:eastAsia="標楷體"/>
          <w:kern w:val="0"/>
        </w:rPr>
        <w:t>]:</w:t>
      </w:r>
      <w:r w:rsidRPr="00571170">
        <w:rPr>
          <w:rFonts w:eastAsia="標楷體"/>
          <w:kern w:val="0"/>
        </w:rPr>
        <w:t>各模組共計</w:t>
      </w:r>
      <w:r w:rsidRPr="00571170">
        <w:rPr>
          <w:rFonts w:eastAsia="標楷體"/>
          <w:kern w:val="0"/>
        </w:rPr>
        <w:t>20</w:t>
      </w:r>
      <w:r w:rsidRPr="00571170">
        <w:rPr>
          <w:rFonts w:eastAsia="標楷體"/>
          <w:kern w:val="0"/>
        </w:rPr>
        <w:t>學分，學分數如上表所示，確切之科目及學分數，依實際開課時而定。</w:t>
      </w:r>
    </w:p>
    <w:p w14:paraId="347AB0DA" w14:textId="77777777" w:rsidR="00C561E8" w:rsidRPr="00361254" w:rsidRDefault="00C561E8"/>
    <w:sectPr w:rsidR="00C561E8" w:rsidRPr="00361254" w:rsidSect="00217496">
      <w:footerReference w:type="even" r:id="rId7"/>
      <w:footerReference w:type="default" r:id="rId8"/>
      <w:pgSz w:w="11906" w:h="16838"/>
      <w:pgMar w:top="709" w:right="1080" w:bottom="851" w:left="1080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9820E" w14:textId="77777777" w:rsidR="00217496" w:rsidRDefault="003612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AF21D7" w14:textId="77777777" w:rsidR="00217496" w:rsidRDefault="0036125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79423" w14:textId="77777777" w:rsidR="00217496" w:rsidRDefault="003612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6EAE639" w14:textId="77777777" w:rsidR="00217496" w:rsidRDefault="00361254" w:rsidP="0021749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54"/>
    <w:rsid w:val="000D2385"/>
    <w:rsid w:val="00361254"/>
    <w:rsid w:val="00451313"/>
    <w:rsid w:val="00662061"/>
    <w:rsid w:val="007620A7"/>
    <w:rsid w:val="0085527A"/>
    <w:rsid w:val="00C561E8"/>
    <w:rsid w:val="00E8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A3A22"/>
  <w15:chartTrackingRefBased/>
  <w15:docId w15:val="{A57CBA34-5DF6-4247-85AD-86EC5AF0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2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6125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361254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361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546C5FDD12974C9D2505E49353DABE" ma:contentTypeVersion="14" ma:contentTypeDescription="建立新的文件。" ma:contentTypeScope="" ma:versionID="f8f2ab10d6d8436a228f897ecd047816">
  <xsd:schema xmlns:xsd="http://www.w3.org/2001/XMLSchema" xmlns:xs="http://www.w3.org/2001/XMLSchema" xmlns:p="http://schemas.microsoft.com/office/2006/metadata/properties" xmlns:ns3="6a28f706-896d-46b4-a6ed-1f7335ada158" xmlns:ns4="6e550f0b-555c-49ea-b06b-260cd9d6a82c" targetNamespace="http://schemas.microsoft.com/office/2006/metadata/properties" ma:root="true" ma:fieldsID="4602fd2aea20e225d21e43ffb319e09c" ns3:_="" ns4:_="">
    <xsd:import namespace="6a28f706-896d-46b4-a6ed-1f7335ada158"/>
    <xsd:import namespace="6e550f0b-555c-49ea-b06b-260cd9d6a8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8f706-896d-46b4-a6ed-1f7335ada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0f0b-555c-49ea-b06b-260cd9d6a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A27A8B-902D-4745-8987-5C8D09113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8f706-896d-46b4-a6ed-1f7335ada158"/>
    <ds:schemaRef ds:uri="6e550f0b-555c-49ea-b06b-260cd9d6a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52782-98CE-4219-81F2-D223728AD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96044-CCD3-4CEE-90AD-A1CF71A3D3E5}">
  <ds:schemaRefs>
    <ds:schemaRef ds:uri="6a28f706-896d-46b4-a6ed-1f7335ada158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e550f0b-555c-49ea-b06b-260cd9d6a82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>uTaipei-classroom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張于玲</dc:creator>
  <cp:keywords/>
  <dc:description/>
  <cp:lastModifiedBy>張于玲</cp:lastModifiedBy>
  <cp:revision>1</cp:revision>
  <dcterms:created xsi:type="dcterms:W3CDTF">2022-07-22T08:07:00Z</dcterms:created>
  <dcterms:modified xsi:type="dcterms:W3CDTF">2022-07-22T08:09:00Z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0x010100BA546C5FDD12974C9D2505E49353DABE</vt:lpwstr>
  </property>
</Properties>
</file>