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C8" w:rsidRDefault="00326273">
      <w:pPr>
        <w:pStyle w:val="Standard"/>
        <w:snapToGrid w:val="0"/>
        <w:spacing w:line="460" w:lineRule="exact"/>
        <w:jc w:val="both"/>
        <w:rPr>
          <w:rFonts w:ascii="標楷體" w:eastAsia="標楷體" w:hAnsi="標楷體" w:cs="新細明體, PMingLiU"/>
          <w:color w:val="000000"/>
          <w:sz w:val="40"/>
          <w:szCs w:val="40"/>
        </w:rPr>
      </w:pPr>
      <w:bookmarkStart w:id="0" w:name="_GoBack"/>
      <w:bookmarkEnd w:id="0"/>
      <w:r>
        <w:rPr>
          <w:rFonts w:ascii="標楷體" w:eastAsia="標楷體" w:hAnsi="標楷體" w:cs="新細明體, PMingLiU"/>
          <w:color w:val="000000"/>
          <w:sz w:val="40"/>
          <w:szCs w:val="40"/>
        </w:rPr>
        <w:t>新住民發展基金補助經費申請補助項目及基準第二點修正規定</w:t>
      </w:r>
    </w:p>
    <w:p w:rsidR="003260C8" w:rsidRDefault="00326273">
      <w:pPr>
        <w:pStyle w:val="Standard"/>
        <w:tabs>
          <w:tab w:val="left" w:pos="6240"/>
        </w:tabs>
        <w:snapToGrid w:val="0"/>
        <w:spacing w:line="460" w:lineRule="exact"/>
        <w:jc w:val="both"/>
        <w:rPr>
          <w:rFonts w:ascii="標楷體" w:eastAsia="標楷體" w:hAnsi="標楷體" w:cs="標楷體"/>
          <w:color w:val="000000"/>
          <w:sz w:val="28"/>
          <w:szCs w:val="28"/>
        </w:rPr>
      </w:pPr>
      <w:r>
        <w:rPr>
          <w:rFonts w:ascii="標楷體" w:eastAsia="標楷體" w:hAnsi="標楷體" w:cs="標楷體"/>
          <w:color w:val="000000"/>
          <w:sz w:val="28"/>
          <w:szCs w:val="28"/>
        </w:rPr>
        <w:t>二、基本補助項目及基準：</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（一）臨時酬勞費：</w:t>
      </w:r>
    </w:p>
    <w:p w:rsidR="003260C8" w:rsidRDefault="00326273">
      <w:pPr>
        <w:pStyle w:val="Standard"/>
        <w:snapToGrid w:val="0"/>
        <w:spacing w:line="460" w:lineRule="exact"/>
        <w:ind w:left="160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以當年度中央勞動主管機關公告之基本工資時薪標準核給。但每人每月臨時酬勞費總額不得超過法定基本工資月薪標準。</w:t>
      </w:r>
    </w:p>
    <w:p w:rsidR="003260C8" w:rsidRDefault="00326273">
      <w:pPr>
        <w:pStyle w:val="Standard"/>
        <w:snapToGrid w:val="0"/>
        <w:spacing w:line="460" w:lineRule="exact"/>
        <w:ind w:left="1605" w:hanging="280"/>
        <w:jc w:val="both"/>
      </w:pPr>
      <w:r>
        <w:rPr>
          <w:rFonts w:ascii="標楷體" w:eastAsia="標楷體" w:hAnsi="標楷體" w:cs="標楷體"/>
          <w:color w:val="000000"/>
          <w:sz w:val="28"/>
          <w:szCs w:val="28"/>
        </w:rPr>
        <w:t>2.</w:t>
      </w:r>
      <w:r>
        <w:rPr>
          <w:rFonts w:ascii="標楷體" w:eastAsia="標楷體" w:hAnsi="標楷體" w:cs="標楷體"/>
          <w:color w:val="000000"/>
          <w:sz w:val="28"/>
          <w:szCs w:val="28"/>
        </w:rPr>
        <w:t>申請臨時酬勞費之申請補助單位，應依據勞動基準法、全民健康保險法、勞工退休金條例及各機關學校聘僱人員離職給與辦法等相關規定核實編列受僱者勞保費、健保費、公提離職儲金或公提退休金費用，並於結報時檢附相關繳款單影本一份。</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（二）一般授課鐘點費：</w:t>
      </w:r>
    </w:p>
    <w:p w:rsidR="003260C8" w:rsidRDefault="00326273">
      <w:pPr>
        <w:pStyle w:val="Standard"/>
        <w:snapToGrid w:val="0"/>
        <w:spacing w:line="460" w:lineRule="exact"/>
        <w:ind w:left="120" w:firstLine="126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外聘：</w:t>
      </w:r>
    </w:p>
    <w:p w:rsidR="003260C8" w:rsidRDefault="00326273">
      <w:pPr>
        <w:pStyle w:val="Standard"/>
        <w:snapToGrid w:val="0"/>
        <w:spacing w:line="460" w:lineRule="exact"/>
        <w:ind w:left="2332" w:hanging="700"/>
        <w:jc w:val="both"/>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w:t>
      </w:r>
      <w:r>
        <w:rPr>
          <w:rFonts w:ascii="標楷體" w:eastAsia="標楷體" w:hAnsi="標楷體" w:cs="標楷體"/>
          <w:color w:val="000000"/>
          <w:sz w:val="28"/>
          <w:szCs w:val="28"/>
        </w:rPr>
        <w:t>聘請國外專家學者擔任講座每</w:t>
      </w:r>
      <w:r>
        <w:rPr>
          <w:rFonts w:ascii="標楷體" w:eastAsia="標楷體" w:hAnsi="標楷體" w:cs="新細明體, PMingLiU"/>
          <w:color w:val="000000"/>
          <w:sz w:val="28"/>
          <w:szCs w:val="28"/>
        </w:rPr>
        <w:t>節課</w:t>
      </w:r>
      <w:r>
        <w:rPr>
          <w:rFonts w:ascii="標楷體" w:eastAsia="標楷體" w:hAnsi="標楷體" w:cs="標楷體"/>
          <w:color w:val="000000"/>
          <w:sz w:val="28"/>
          <w:szCs w:val="28"/>
        </w:rPr>
        <w:t>最高新臺幣二千四百元。</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）聘請國內專家學者擔任講座每節課最高新臺幣二千元或新臺幣一千六百元。</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）聘請與主辦或訓練機關（構）學校有隸屬關係之機關（構）學校人員擔任講座每節課最高新臺幣一千五百元。</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內聘：內聘講座每節課最高新臺幣一千元或新臺幣八百元。</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助教鐘點費：課程上課人數達二十人以上，得視實際需要，安排一位助教協助教學，每節課支給數額按同一課程講座鐘點費減半支給。</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課後照顧服務：每節課最高新臺幣四百元。</w:t>
      </w:r>
      <w:r>
        <w:rPr>
          <w:rFonts w:ascii="標楷體" w:eastAsia="標楷體" w:hAnsi="標楷體" w:cs="標楷體"/>
          <w:color w:val="000000"/>
          <w:sz w:val="28"/>
          <w:szCs w:val="28"/>
        </w:rPr>
        <w:t>(</w:t>
      </w:r>
      <w:r>
        <w:rPr>
          <w:rFonts w:ascii="標楷體" w:eastAsia="標楷體" w:hAnsi="標楷體" w:cs="標楷體"/>
          <w:color w:val="000000"/>
          <w:sz w:val="28"/>
          <w:szCs w:val="28"/>
        </w:rPr>
        <w:t>本項目經費補助至十九時止</w:t>
      </w:r>
      <w:r>
        <w:rPr>
          <w:rFonts w:ascii="標楷體" w:eastAsia="標楷體" w:hAnsi="標楷體" w:cs="標楷體"/>
          <w:color w:val="000000"/>
          <w:sz w:val="28"/>
          <w:szCs w:val="28"/>
        </w:rPr>
        <w:t>)</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營隊：學期中週一至週五</w:t>
      </w:r>
      <w:r>
        <w:rPr>
          <w:rFonts w:ascii="標楷體" w:eastAsia="標楷體" w:hAnsi="標楷體" w:cs="標楷體"/>
          <w:color w:val="000000"/>
          <w:sz w:val="28"/>
          <w:szCs w:val="28"/>
        </w:rPr>
        <w:t>(</w:t>
      </w:r>
      <w:r>
        <w:rPr>
          <w:rFonts w:ascii="標楷體" w:eastAsia="標楷體" w:hAnsi="標楷體" w:cs="標楷體"/>
          <w:color w:val="000000"/>
          <w:sz w:val="28"/>
          <w:szCs w:val="28"/>
        </w:rPr>
        <w:t>十六時以後</w:t>
      </w:r>
      <w:r>
        <w:rPr>
          <w:rFonts w:ascii="標楷體" w:eastAsia="標楷體" w:hAnsi="標楷體" w:cs="標楷體"/>
          <w:color w:val="000000"/>
          <w:sz w:val="28"/>
          <w:szCs w:val="28"/>
        </w:rPr>
        <w:t>)</w:t>
      </w:r>
      <w:r>
        <w:rPr>
          <w:rFonts w:ascii="標楷體" w:eastAsia="標楷體" w:hAnsi="標楷體" w:cs="標楷體"/>
          <w:color w:val="000000"/>
          <w:sz w:val="28"/>
          <w:szCs w:val="28"/>
        </w:rPr>
        <w:t>，週六、週日及寒暑假，每節課最高新臺幣四百元。</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新住民語文學習課程：每節課最高新臺幣四百元。</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7.</w:t>
      </w:r>
      <w:r>
        <w:rPr>
          <w:rFonts w:ascii="標楷體" w:eastAsia="標楷體" w:hAnsi="標楷體" w:cs="標楷體"/>
          <w:color w:val="000000"/>
          <w:sz w:val="28"/>
          <w:szCs w:val="28"/>
        </w:rPr>
        <w:t>專題演講費每節課新臺幣一千元至新臺幣二千元。</w:t>
      </w:r>
    </w:p>
    <w:p w:rsidR="003260C8" w:rsidRDefault="00326273">
      <w:pPr>
        <w:pStyle w:val="Standard"/>
        <w:snapToGrid w:val="0"/>
        <w:spacing w:line="460" w:lineRule="exact"/>
        <w:ind w:left="1718" w:hanging="30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必要時得要求檢附授課講師</w:t>
      </w:r>
      <w:r>
        <w:rPr>
          <w:rFonts w:ascii="標楷體" w:eastAsia="標楷體" w:hAnsi="標楷體" w:cs="標楷體"/>
          <w:color w:val="000000"/>
          <w:sz w:val="28"/>
          <w:szCs w:val="28"/>
        </w:rPr>
        <w:t>(</w:t>
      </w:r>
      <w:r>
        <w:rPr>
          <w:rFonts w:ascii="標楷體" w:eastAsia="標楷體" w:hAnsi="標楷體" w:cs="標楷體"/>
          <w:color w:val="000000"/>
          <w:sz w:val="28"/>
          <w:szCs w:val="28"/>
        </w:rPr>
        <w:t>講座</w:t>
      </w:r>
      <w:r>
        <w:rPr>
          <w:rFonts w:ascii="標楷體" w:eastAsia="標楷體" w:hAnsi="標楷體" w:cs="標楷體"/>
          <w:color w:val="000000"/>
          <w:sz w:val="28"/>
          <w:szCs w:val="28"/>
        </w:rPr>
        <w:t>)</w:t>
      </w:r>
      <w:r>
        <w:rPr>
          <w:rFonts w:ascii="標楷體" w:eastAsia="標楷體" w:hAnsi="標楷體" w:cs="標楷體"/>
          <w:color w:val="000000"/>
          <w:sz w:val="28"/>
          <w:szCs w:val="28"/>
        </w:rPr>
        <w:t>之專業或專長文件。</w:t>
      </w:r>
    </w:p>
    <w:p w:rsidR="003260C8" w:rsidRDefault="00326273">
      <w:pPr>
        <w:pStyle w:val="Standard"/>
        <w:snapToGrid w:val="0"/>
        <w:spacing w:line="460" w:lineRule="exact"/>
        <w:ind w:left="1720" w:hanging="280"/>
        <w:jc w:val="both"/>
      </w:pPr>
      <w:r>
        <w:rPr>
          <w:rFonts w:ascii="標楷體" w:eastAsia="標楷體" w:hAnsi="標楷體" w:cs="標楷體"/>
          <w:color w:val="000000"/>
          <w:sz w:val="28"/>
          <w:szCs w:val="28"/>
        </w:rPr>
        <w:t>9.</w:t>
      </w:r>
      <w:r>
        <w:rPr>
          <w:rFonts w:ascii="標楷體" w:eastAsia="標楷體" w:hAnsi="標楷體" w:cs="新細明體, PMingLiU"/>
          <w:color w:val="000000"/>
          <w:sz w:val="28"/>
          <w:szCs w:val="28"/>
        </w:rPr>
        <w:t>每節課以五</w:t>
      </w:r>
      <w:r>
        <w:rPr>
          <w:rFonts w:ascii="標楷體" w:eastAsia="標楷體" w:hAnsi="標楷體" w:cs="新細明體, PMingLiU"/>
          <w:color w:val="000000"/>
          <w:sz w:val="28"/>
          <w:szCs w:val="28"/>
        </w:rPr>
        <w:t>十分鐘計，連續上課二節者為九十分鐘，未滿者減半支給。但上課學員為國小學童者，每節課以四十分鐘計。</w:t>
      </w:r>
    </w:p>
    <w:p w:rsidR="003260C8" w:rsidRDefault="00326273">
      <w:pPr>
        <w:pStyle w:val="Standard"/>
        <w:snapToGrid w:val="0"/>
        <w:spacing w:line="460" w:lineRule="exact"/>
        <w:ind w:left="1860" w:hanging="420"/>
        <w:jc w:val="both"/>
      </w:pPr>
      <w:r>
        <w:rPr>
          <w:rFonts w:ascii="標楷體" w:eastAsia="標楷體" w:hAnsi="標楷體" w:cs="標楷體"/>
          <w:color w:val="000000"/>
          <w:sz w:val="28"/>
          <w:szCs w:val="28"/>
        </w:rPr>
        <w:t>10.</w:t>
      </w:r>
      <w:r>
        <w:rPr>
          <w:rFonts w:ascii="標楷體" w:eastAsia="標楷體" w:hAnsi="標楷體" w:cs="新細明體, PMingLiU"/>
          <w:color w:val="000000"/>
          <w:sz w:val="28"/>
          <w:szCs w:val="28"/>
        </w:rPr>
        <w:t>課程講師安排以師資多元化為原則，單一師資每人每月授課鐘點費總額不得超過法定基本工資月薪標準。</w:t>
      </w:r>
    </w:p>
    <w:p w:rsidR="003260C8" w:rsidRDefault="00326273">
      <w:pPr>
        <w:pStyle w:val="Standard"/>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11.</w:t>
      </w:r>
      <w:r>
        <w:rPr>
          <w:rFonts w:ascii="標楷體" w:eastAsia="標楷體" w:hAnsi="標楷體" w:cs="標楷體"/>
          <w:color w:val="000000"/>
          <w:sz w:val="28"/>
          <w:szCs w:val="28"/>
        </w:rPr>
        <w:t>取得單一級技術士證得比照甲級或乙級者，應檢附中央勞動主管機關認可得比照甲級或乙級之證明文件。</w:t>
      </w:r>
    </w:p>
    <w:p w:rsidR="003260C8" w:rsidRDefault="00326273">
      <w:pPr>
        <w:pStyle w:val="Standard"/>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本款各目授課鐘點費支給，應依申請計畫項目相關規定辦理。</w:t>
      </w:r>
    </w:p>
    <w:p w:rsidR="003260C8" w:rsidRDefault="00326273">
      <w:pPr>
        <w:pStyle w:val="Standard"/>
        <w:snapToGrid w:val="0"/>
        <w:spacing w:line="460" w:lineRule="exact"/>
        <w:ind w:left="1327" w:hanging="845"/>
        <w:jc w:val="both"/>
      </w:pPr>
      <w:r>
        <w:rPr>
          <w:rFonts w:ascii="標楷體" w:eastAsia="標楷體" w:hAnsi="標楷體" w:cs="標楷體"/>
          <w:color w:val="000000"/>
          <w:spacing w:val="1"/>
          <w:sz w:val="28"/>
          <w:szCs w:val="28"/>
        </w:rPr>
        <w:t>（三）</w:t>
      </w:r>
      <w:r>
        <w:rPr>
          <w:rFonts w:ascii="標楷體" w:eastAsia="標楷體" w:hAnsi="標楷體" w:cs="標楷體"/>
          <w:color w:val="000000"/>
          <w:sz w:val="28"/>
          <w:szCs w:val="28"/>
        </w:rPr>
        <w:t>專案差旅費：</w:t>
      </w:r>
    </w:p>
    <w:p w:rsidR="003260C8" w:rsidRDefault="00326273">
      <w:pPr>
        <w:pStyle w:val="Standard"/>
        <w:snapToGrid w:val="0"/>
        <w:spacing w:line="460" w:lineRule="exact"/>
        <w:ind w:left="1720" w:hanging="280"/>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國內差旅費：交通費實報實銷（不補助計程車資）；住宿費檢據核銷，每日最高新臺幣二千元；雜費每日最高新臺幣四百元，於補助額度內檢據核</w:t>
      </w:r>
      <w:r>
        <w:rPr>
          <w:rFonts w:ascii="標楷體" w:eastAsia="標楷體" w:hAnsi="標楷體" w:cs="標楷體"/>
          <w:color w:val="000000"/>
          <w:sz w:val="28"/>
          <w:szCs w:val="28"/>
        </w:rPr>
        <w:t>銷。</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國外講座來臺差旅費：</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）國內交通費、住宿費及雜費：補助基準同國內差旅費。但國際性研討會邀請外賓每日住宿費最高補助新臺幣四千元，僅補助實際授課天數及抵臺與離臺當日。</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）往返機票費：以經濟艙支付，每人每年最高補助一次為限，並應檢附票根或購票證明覈實報支。</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）申請單位應提出完整書面資料，具體說明該課程須聘請國外講座之特殊性及編列之合理必要性辦理審查。</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（四）翻譯費：外文譯成中文，以中文計，每千字最高新臺幣一千二百二十元，中文譯成外文，以外文計，每千字最高新臺幣一千六百三十元。</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（五）撰稿費：每千字最高新臺幣一千零二十元。</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（六）審稿費：中文每千字最高新臺幣二百元；外文每千字最高新臺幣二百五十元。</w:t>
      </w:r>
    </w:p>
    <w:p w:rsidR="003260C8" w:rsidRDefault="00326273">
      <w:pPr>
        <w:pStyle w:val="Standard"/>
        <w:snapToGrid w:val="0"/>
        <w:spacing w:line="460" w:lineRule="exact"/>
        <w:ind w:left="1327" w:hanging="845"/>
        <w:jc w:val="both"/>
      </w:pPr>
      <w:r>
        <w:rPr>
          <w:rFonts w:ascii="標楷體" w:eastAsia="標楷體" w:hAnsi="標楷體" w:cs="標楷體"/>
          <w:color w:val="000000"/>
          <w:spacing w:val="1"/>
          <w:sz w:val="28"/>
          <w:szCs w:val="28"/>
        </w:rPr>
        <w:t>（七）出席費：邀請個人以專家學者身分參與具有政策性或專業性</w:t>
      </w:r>
      <w:r>
        <w:rPr>
          <w:rFonts w:ascii="標楷體" w:eastAsia="標楷體" w:hAnsi="標楷體" w:cs="標楷體"/>
          <w:color w:val="000000"/>
          <w:spacing w:val="1"/>
          <w:sz w:val="28"/>
          <w:szCs w:val="28"/>
        </w:rPr>
        <w:lastRenderedPageBreak/>
        <w:t>之重大諮議事項會議者，始得支領，最高新臺幣二千五百元。一般經常性業務會議或邀請內政部（含所屬機關）、接受補助機關（單位）及民間團體人員參與者，均不得支領。</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（八）專案計畫管理費：依補助項目實際需要核實計列，最高不得超過核定補助總經費之百分之五。所稱總經費，指實際支出補助總經費</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不含專案計畫管理費</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。支用項目為行政管理所需之電費、電</w:t>
      </w:r>
      <w:r>
        <w:rPr>
          <w:rFonts w:ascii="標楷體" w:eastAsia="標楷體" w:hAnsi="標楷體" w:cs="標楷體"/>
          <w:color w:val="000000"/>
          <w:spacing w:val="1"/>
          <w:sz w:val="28"/>
          <w:szCs w:val="28"/>
        </w:rPr>
        <w:t>話費、水費、油料費、電腦及影印機耗材等項目，並視核定計畫實際執行金額，依比例檢據核銷。</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（九）專業服務費：</w:t>
      </w:r>
    </w:p>
    <w:p w:rsidR="003260C8" w:rsidRDefault="00326273">
      <w:pPr>
        <w:pStyle w:val="Standard"/>
        <w:snapToGrid w:val="0"/>
        <w:spacing w:line="460" w:lineRule="exact"/>
        <w:ind w:left="1720" w:hanging="280"/>
        <w:jc w:val="both"/>
      </w:pPr>
      <w:r>
        <w:rPr>
          <w:rFonts w:ascii="標楷體" w:eastAsia="標楷體" w:hAnsi="標楷體" w:cs="標楷體"/>
          <w:color w:val="000000"/>
          <w:sz w:val="28"/>
          <w:szCs w:val="28"/>
        </w:rPr>
        <w:t>1.</w:t>
      </w:r>
      <w:r>
        <w:rPr>
          <w:rFonts w:ascii="標楷體" w:eastAsia="標楷體" w:hAnsi="標楷體" w:cs="標楷體"/>
          <w:color w:val="000000"/>
          <w:sz w:val="28"/>
          <w:szCs w:val="28"/>
        </w:rPr>
        <w:t>參考聘用人員比照分類職位公務人員俸點支給報酬標準，採薪點折合率換算</w:t>
      </w:r>
      <w:r>
        <w:rPr>
          <w:rFonts w:ascii="標楷體" w:eastAsia="標楷體" w:hAnsi="標楷體" w:cs="標楷體"/>
          <w:color w:val="000000"/>
          <w:sz w:val="28"/>
          <w:szCs w:val="28"/>
        </w:rPr>
        <w:t>(</w:t>
      </w:r>
      <w:r>
        <w:rPr>
          <w:rFonts w:ascii="標楷體" w:eastAsia="標楷體" w:hAnsi="標楷體" w:cs="標楷體"/>
          <w:color w:val="000000"/>
          <w:sz w:val="28"/>
          <w:szCs w:val="28"/>
        </w:rPr>
        <w:t>依行政院一百零七年一月三十一日院授人給字第一</w:t>
      </w:r>
      <w:r>
        <w:rPr>
          <w:rFonts w:ascii="標楷體" w:eastAsia="標楷體" w:hAnsi="標楷體" w:cs="標楷體"/>
          <w:color w:val="000000"/>
          <w:sz w:val="28"/>
          <w:szCs w:val="28"/>
        </w:rPr>
        <w:t>0</w:t>
      </w:r>
      <w:r>
        <w:rPr>
          <w:rFonts w:ascii="標楷體" w:eastAsia="標楷體" w:hAnsi="標楷體" w:cs="標楷體"/>
          <w:color w:val="000000"/>
          <w:sz w:val="28"/>
          <w:szCs w:val="28"/>
        </w:rPr>
        <w:t>七</w:t>
      </w:r>
      <w:r>
        <w:rPr>
          <w:rFonts w:ascii="標楷體" w:eastAsia="標楷體" w:hAnsi="標楷體" w:cs="標楷體"/>
          <w:color w:val="000000"/>
          <w:sz w:val="28"/>
          <w:szCs w:val="28"/>
        </w:rPr>
        <w:t>00000</w:t>
      </w:r>
      <w:r>
        <w:rPr>
          <w:rFonts w:ascii="標楷體" w:eastAsia="標楷體" w:hAnsi="標楷體" w:cs="標楷體"/>
          <w:color w:val="000000"/>
          <w:sz w:val="28"/>
          <w:szCs w:val="28"/>
        </w:rPr>
        <w:t>一一號函，薪點折合率每點為新臺幣一百二十四點七元），專業人員以每月二百八十薪點（新臺幣三萬四千九百十六元）起聘，專業督導人員以每月三百二十八薪點（新臺幣四萬九百零一元）起聘，每年得依考核情形晉階一次，增加八薪點（新臺幣九百九十七元），晉階階數比照聘用人員俸點報酬標準，最高晉</w:t>
      </w:r>
      <w:r>
        <w:rPr>
          <w:rFonts w:ascii="標楷體" w:eastAsia="標楷體" w:hAnsi="標楷體" w:cs="標楷體"/>
          <w:color w:val="000000"/>
          <w:sz w:val="28"/>
          <w:szCs w:val="28"/>
        </w:rPr>
        <w:t>陞至第七階；對於具社工相關系所碩士以上學歷增加十六薪點（新臺幣一千九百九十五元）；社會工作師證書加給增加十六薪點（新臺幣一千九百九十五元），專科社會工作師證書加給增加十六薪點（新臺幣一千九百九十五元），社會工作師執業執照加給增加三十二薪點（新臺幣三千九百九十元）。社會工作師執業執照加給與社會工作師證書加給僅得擇一補助。自中華民國一百十二年一月一日起，社會工作師證書不予加給。</w:t>
      </w:r>
    </w:p>
    <w:p w:rsidR="003260C8" w:rsidRDefault="00326273">
      <w:pPr>
        <w:pStyle w:val="Standard"/>
        <w:snapToGrid w:val="0"/>
        <w:spacing w:line="460" w:lineRule="exact"/>
        <w:ind w:left="1720" w:hanging="280"/>
        <w:jc w:val="both"/>
      </w:pPr>
      <w:r>
        <w:rPr>
          <w:rFonts w:ascii="標楷體" w:eastAsia="標楷體" w:hAnsi="標楷體" w:cs="標楷體"/>
          <w:color w:val="000000"/>
          <w:sz w:val="28"/>
          <w:szCs w:val="28"/>
        </w:rPr>
        <w:t>2.</w:t>
      </w:r>
      <w:r>
        <w:rPr>
          <w:rFonts w:ascii="標楷體" w:eastAsia="標楷體" w:hAnsi="標楷體" w:cs="標楷體"/>
          <w:color w:val="000000"/>
          <w:sz w:val="28"/>
          <w:szCs w:val="28"/>
        </w:rPr>
        <w:t>另依社會工作人員執行高度風險及一般風險業務量表（參照衛生福利部訂定補助民間單位社會工作人員薪資制度計畫），原接受各直轄市及縣（市）</w:t>
      </w:r>
      <w:r>
        <w:rPr>
          <w:rFonts w:ascii="標楷體" w:eastAsia="標楷體" w:hAnsi="標楷體" w:cs="標楷體"/>
          <w:color w:val="000000"/>
          <w:sz w:val="28"/>
          <w:szCs w:val="28"/>
        </w:rPr>
        <w:t>政府核定有案並領有風險工作補助之委託方案，得經各直轄市及縣（市）政府評估後依風險業務等級申請核予薪點，執行高度風險業務社</w:t>
      </w:r>
      <w:r>
        <w:rPr>
          <w:rFonts w:ascii="標楷體" w:eastAsia="標楷體" w:hAnsi="標楷體" w:cs="標楷體"/>
          <w:color w:val="000000"/>
          <w:sz w:val="28"/>
          <w:szCs w:val="28"/>
        </w:rPr>
        <w:lastRenderedPageBreak/>
        <w:t>會工作人員增加十六薪點（新臺幣一千九百九十五元），執行一般風險業務社會工作人員增加八薪點（新臺幣九百九十七元）。</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專業人員應符合下列資格條件之一</w:t>
      </w:r>
      <w:r>
        <w:rPr>
          <w:rFonts w:ascii="標楷體" w:eastAsia="標楷體" w:hAnsi="標楷體" w:cs="標楷體"/>
          <w:color w:val="000000"/>
          <w:sz w:val="28"/>
          <w:szCs w:val="28"/>
        </w:rPr>
        <w:t>(</w:t>
      </w:r>
      <w:r>
        <w:rPr>
          <w:rFonts w:ascii="標楷體" w:eastAsia="標楷體" w:hAnsi="標楷體" w:cs="標楷體"/>
          <w:color w:val="000000"/>
          <w:sz w:val="28"/>
          <w:szCs w:val="28"/>
        </w:rPr>
        <w:t>申請單位應檢附資格證明文件影本</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1</w:t>
      </w:r>
      <w:r>
        <w:rPr>
          <w:rFonts w:ascii="標楷體" w:eastAsia="標楷體" w:hAnsi="標楷體" w:cs="新細明體, PMingLiU"/>
          <w:color w:val="000000"/>
          <w:sz w:val="28"/>
          <w:szCs w:val="28"/>
        </w:rPr>
        <w:t>）領有專科社會工作師證書。</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2</w:t>
      </w:r>
      <w:r>
        <w:rPr>
          <w:rFonts w:ascii="標楷體" w:eastAsia="標楷體" w:hAnsi="標楷體" w:cs="新細明體, PMingLiU"/>
          <w:color w:val="000000"/>
          <w:sz w:val="28"/>
          <w:szCs w:val="28"/>
        </w:rPr>
        <w:t>）領有社會工作師證照。</w:t>
      </w:r>
    </w:p>
    <w:p w:rsidR="003260C8" w:rsidRDefault="00326273">
      <w:pPr>
        <w:pStyle w:val="Standard"/>
        <w:snapToGrid w:val="0"/>
        <w:spacing w:line="460" w:lineRule="exact"/>
        <w:ind w:left="2332" w:hanging="700"/>
        <w:jc w:val="both"/>
        <w:rPr>
          <w:rFonts w:ascii="標楷體" w:eastAsia="標楷體" w:hAnsi="標楷體" w:cs="新細明體, PMingLiU"/>
          <w:color w:val="000000"/>
          <w:sz w:val="28"/>
          <w:szCs w:val="28"/>
        </w:rPr>
      </w:pPr>
      <w:r>
        <w:rPr>
          <w:rFonts w:ascii="標楷體" w:eastAsia="標楷體" w:hAnsi="標楷體" w:cs="新細明體, PMingLiU"/>
          <w:color w:val="000000"/>
          <w:sz w:val="28"/>
          <w:szCs w:val="28"/>
        </w:rPr>
        <w:t>（</w:t>
      </w:r>
      <w:r>
        <w:rPr>
          <w:rFonts w:ascii="標楷體" w:eastAsia="標楷體" w:hAnsi="標楷體" w:cs="新細明體, PMingLiU"/>
          <w:color w:val="000000"/>
          <w:sz w:val="28"/>
          <w:szCs w:val="28"/>
        </w:rPr>
        <w:t>3</w:t>
      </w:r>
      <w:r>
        <w:rPr>
          <w:rFonts w:ascii="標楷體" w:eastAsia="標楷體" w:hAnsi="標楷體" w:cs="新細明體, PMingLiU"/>
          <w:color w:val="000000"/>
          <w:sz w:val="28"/>
          <w:szCs w:val="28"/>
        </w:rPr>
        <w:t>）自一百零六年一月一日起，須符合專門職業及技術人員高等考試社會工作師考試規則第五條第二項應考資格規定者。但於一百零五年十二月三十一日以前在職之</w:t>
      </w:r>
      <w:r>
        <w:rPr>
          <w:rFonts w:ascii="標楷體" w:eastAsia="標楷體" w:hAnsi="標楷體" w:cs="新細明體, PMingLiU"/>
          <w:color w:val="000000"/>
          <w:sz w:val="28"/>
          <w:szCs w:val="28"/>
        </w:rPr>
        <w:t>專業人員，或經考選部核定准予部分科目免試有案者，不在此限。</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年資自一百零九年進用服務時間起算，本基金、各直轄市及縣（市）政府委託、補助計畫之專業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人員年資合併計算為原則，年資計算中斷者，重新進用後則年資重新起算，迄任職滿一年後且通過考核，次年起併計已採認年資，留職停薪（如育嬰、侍親等）者不在此限。</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年資之採認，以符合年終（度）考核，且通過考核為原則，並以會計年度為採計基準，畸零月數不予併計。</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年資之晉階考核，由受補助單位於年終核銷時，以受補助單位原有之考核機制為原則，依專業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人員個人</w:t>
      </w:r>
      <w:r>
        <w:rPr>
          <w:rFonts w:ascii="標楷體" w:eastAsia="標楷體" w:hAnsi="標楷體" w:cs="標楷體"/>
          <w:color w:val="000000"/>
          <w:sz w:val="28"/>
          <w:szCs w:val="28"/>
        </w:rPr>
        <w:t>工作成效、服務案量、專業表現或服務品質、工作態度、團隊合作等考核項目辦理考核（如無考核機制，得參照附件十），並應將考核結果填報於附件十一，掃描上傳至衛生福利部社工人力資源管理系統及辦理年資晉階作業，未晉階之人員，經補助單位查核具晉階條件者，補助單位得調整考評結果。考核結果通過之受補助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人員，次年起可晉一階（提高八薪點）為原則，晉階階數比照聘用人員俸點報酬標準，最高晉陞至第七階。</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原領有本基金年資補助之專業</w:t>
      </w:r>
      <w:r>
        <w:rPr>
          <w:rFonts w:ascii="標楷體" w:eastAsia="標楷體" w:hAnsi="標楷體" w:cs="標楷體"/>
          <w:color w:val="000000"/>
          <w:sz w:val="28"/>
          <w:szCs w:val="28"/>
        </w:rPr>
        <w:t>(</w:t>
      </w:r>
      <w:r>
        <w:rPr>
          <w:rFonts w:ascii="標楷體" w:eastAsia="標楷體" w:hAnsi="標楷體" w:cs="標楷體"/>
          <w:color w:val="000000"/>
          <w:sz w:val="28"/>
          <w:szCs w:val="28"/>
        </w:rPr>
        <w:t>督導</w:t>
      </w:r>
      <w:r>
        <w:rPr>
          <w:rFonts w:ascii="標楷體" w:eastAsia="標楷體" w:hAnsi="標楷體" w:cs="標楷體"/>
          <w:color w:val="000000"/>
          <w:sz w:val="28"/>
          <w:szCs w:val="28"/>
        </w:rPr>
        <w:t>)</w:t>
      </w:r>
      <w:r>
        <w:rPr>
          <w:rFonts w:ascii="標楷體" w:eastAsia="標楷體" w:hAnsi="標楷體" w:cs="標楷體"/>
          <w:color w:val="000000"/>
          <w:sz w:val="28"/>
          <w:szCs w:val="28"/>
        </w:rPr>
        <w:t>人員，年資補助之薪</w:t>
      </w:r>
      <w:r>
        <w:rPr>
          <w:rFonts w:ascii="標楷體" w:eastAsia="標楷體" w:hAnsi="標楷體" w:cs="標楷體"/>
          <w:color w:val="000000"/>
          <w:sz w:val="28"/>
          <w:szCs w:val="28"/>
        </w:rPr>
        <w:lastRenderedPageBreak/>
        <w:t>資併入晉階（薪點）計算，併入本計畫後，每年得依考核情形晉階一次，</w:t>
      </w:r>
      <w:r>
        <w:rPr>
          <w:rFonts w:ascii="標楷體" w:eastAsia="標楷體" w:hAnsi="標楷體" w:cs="標楷體"/>
          <w:color w:val="000000"/>
          <w:sz w:val="28"/>
          <w:szCs w:val="28"/>
        </w:rPr>
        <w:t>增加八薪點（新臺幣九百九十七元），晉階階數比照聘用人員俸點報酬標準，最高仍晉陞至第七階（例：一百零八年已有一年年資加給者，一百零九年自第一階計算薪資，即二百八十八薪點，為新臺幣三萬五千九百十三元聘用；一百零八年已有二年年資加給者，一百零九年自第二階計算薪資，即二百九十六薪點，為新臺幣三萬六千九百十一元聘用；一百零八年已有三年年資加給者，一百零九年自第三階計算薪資，即三百零四薪點，為新臺幣三萬七千九百零八元聘用）。</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8.</w:t>
      </w:r>
      <w:r>
        <w:rPr>
          <w:rFonts w:ascii="標楷體" w:eastAsia="標楷體" w:hAnsi="標楷體" w:cs="標楷體"/>
          <w:color w:val="000000"/>
          <w:sz w:val="28"/>
          <w:szCs w:val="28"/>
        </w:rPr>
        <w:t>每年最高得補助十三點五個月</w:t>
      </w:r>
      <w:r>
        <w:rPr>
          <w:rFonts w:ascii="標楷體" w:eastAsia="標楷體" w:hAnsi="標楷體" w:cs="標楷體"/>
          <w:color w:val="000000"/>
          <w:sz w:val="28"/>
          <w:szCs w:val="28"/>
        </w:rPr>
        <w:t>(</w:t>
      </w:r>
      <w:r>
        <w:rPr>
          <w:rFonts w:ascii="標楷體" w:eastAsia="標楷體" w:hAnsi="標楷體" w:cs="標楷體"/>
          <w:color w:val="000000"/>
          <w:sz w:val="28"/>
          <w:szCs w:val="28"/>
        </w:rPr>
        <w:t>含年終獎金</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9.</w:t>
      </w:r>
      <w:r>
        <w:rPr>
          <w:rFonts w:ascii="標楷體" w:eastAsia="標楷體" w:hAnsi="標楷體" w:cs="標楷體"/>
          <w:color w:val="000000"/>
          <w:sz w:val="28"/>
          <w:szCs w:val="28"/>
        </w:rPr>
        <w:t>受補助單位應至衛生福利部社工人力資源管理系</w:t>
      </w:r>
      <w:r>
        <w:rPr>
          <w:rFonts w:ascii="標楷體" w:eastAsia="標楷體" w:hAnsi="標楷體" w:cs="標楷體"/>
          <w:color w:val="000000"/>
          <w:sz w:val="28"/>
          <w:szCs w:val="28"/>
        </w:rPr>
        <w:t>統登載進用社工人員薪資資料，並上傳勞動契約、學歷、社會工作師證書、有效效期內之社會工作師執業執照、專科社會工作師證書、投保證明等相關文件，始予撥款。其中社會工作師證書、有效效期內之社會工作師執業執照、專科社會工作師證書等三項證明文件可與該系統勾稽帶入者，無須重複上傳。勞動契約應登載月薪，且月薪不得低於核定之專業服務費。</w:t>
      </w:r>
    </w:p>
    <w:p w:rsidR="003260C8" w:rsidRDefault="00326273">
      <w:pPr>
        <w:pStyle w:val="Standard"/>
        <w:snapToGrid w:val="0"/>
        <w:spacing w:line="460" w:lineRule="exact"/>
        <w:ind w:left="1860" w:hanging="420"/>
        <w:jc w:val="both"/>
      </w:pPr>
      <w:r>
        <w:rPr>
          <w:rFonts w:ascii="標楷體" w:eastAsia="標楷體" w:hAnsi="標楷體" w:cs="標楷體"/>
          <w:color w:val="000000"/>
          <w:sz w:val="28"/>
          <w:szCs w:val="28"/>
        </w:rPr>
        <w:t>10.</w:t>
      </w:r>
      <w:r>
        <w:rPr>
          <w:rFonts w:ascii="標楷體" w:eastAsia="標楷體" w:hAnsi="標楷體" w:cs="標楷體"/>
          <w:color w:val="000000"/>
          <w:sz w:val="28"/>
          <w:szCs w:val="28"/>
        </w:rPr>
        <w:t>專業人員中途離職，服務未滿整月者，按實際在職日數覈實計支；其每日計發金額，以當月全月俸給總額除以該月全月之日數計算。專業人員年終獎金計算比照軍公教人員年終獎金發給注意事項之規定，於當年</w:t>
      </w:r>
      <w:r>
        <w:rPr>
          <w:rFonts w:ascii="標楷體" w:eastAsia="標楷體" w:hAnsi="標楷體" w:cs="標楷體"/>
          <w:color w:val="000000"/>
          <w:sz w:val="28"/>
          <w:szCs w:val="28"/>
        </w:rPr>
        <w:t>一月三十一日前已在職人員至十二月一日仍在職者，發給一點五個月之年終獎金；二月一日以後各月份新進到職人員，如十二月一日仍在職者，按實際在職月數比例計支。</w:t>
      </w:r>
    </w:p>
    <w:p w:rsidR="003260C8" w:rsidRDefault="00326273">
      <w:pPr>
        <w:pStyle w:val="Standard"/>
        <w:snapToGrid w:val="0"/>
        <w:spacing w:line="460" w:lineRule="exact"/>
        <w:ind w:left="1860" w:hanging="420"/>
        <w:jc w:val="both"/>
      </w:pPr>
      <w:r>
        <w:rPr>
          <w:rFonts w:ascii="標楷體" w:eastAsia="標楷體" w:hAnsi="標楷體" w:cs="標楷體"/>
          <w:color w:val="000000"/>
          <w:sz w:val="28"/>
          <w:szCs w:val="28"/>
        </w:rPr>
        <w:t>11.</w:t>
      </w:r>
      <w:r>
        <w:rPr>
          <w:rFonts w:ascii="標楷體" w:eastAsia="標楷體" w:hAnsi="標楷體" w:cs="標楷體"/>
          <w:color w:val="000000"/>
          <w:sz w:val="28"/>
          <w:szCs w:val="28"/>
        </w:rPr>
        <w:t>申請專業服務費之申請補助單位，應依據勞動基準法、全民健康保險法、勞工退休金條例及各機關學校聘僱人員離職給與辦法等相關規定核實編列受僱者勞保費、健保費、公提離職儲金或公提退休金費用；申請補助單位</w:t>
      </w:r>
      <w:r>
        <w:rPr>
          <w:rFonts w:ascii="標楷體" w:eastAsia="標楷體" w:hAnsi="標楷體" w:cs="標楷體"/>
          <w:color w:val="000000"/>
          <w:sz w:val="28"/>
          <w:szCs w:val="28"/>
        </w:rPr>
        <w:lastRenderedPageBreak/>
        <w:t>應負擔之勞保費、健保費、公提離職儲金或公提退休金費用，每人每月最高得補助新臺幣五千元，並於結報時檢附相關繳款單影本一份。</w:t>
      </w:r>
    </w:p>
    <w:p w:rsidR="003260C8" w:rsidRDefault="00326273">
      <w:pPr>
        <w:pStyle w:val="Standard"/>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12.</w:t>
      </w:r>
      <w:r>
        <w:rPr>
          <w:rFonts w:ascii="標楷體" w:eastAsia="標楷體" w:hAnsi="標楷體" w:cs="標楷體"/>
          <w:color w:val="000000"/>
          <w:sz w:val="28"/>
          <w:szCs w:val="28"/>
        </w:rPr>
        <w:t>支領專業服務費之受僱者，不得再兼任其他機關之補助或委託計畫。</w:t>
      </w:r>
    </w:p>
    <w:p w:rsidR="003260C8" w:rsidRDefault="00326273">
      <w:pPr>
        <w:pStyle w:val="Standard"/>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13.</w:t>
      </w:r>
      <w:r>
        <w:rPr>
          <w:rFonts w:ascii="標楷體" w:eastAsia="標楷體" w:hAnsi="標楷體" w:cs="標楷體"/>
          <w:color w:val="000000"/>
          <w:sz w:val="28"/>
          <w:szCs w:val="28"/>
        </w:rPr>
        <w:t>受補助單位不得以強制攤派或其他強迫方式要求薪資回捐。亦不得向因職務上或業務上關係有服從義務或受監督之人強行為之。</w:t>
      </w:r>
    </w:p>
    <w:p w:rsidR="003260C8" w:rsidRDefault="00326273">
      <w:pPr>
        <w:pStyle w:val="Standard"/>
        <w:snapToGrid w:val="0"/>
        <w:spacing w:line="460" w:lineRule="exact"/>
        <w:ind w:left="1860" w:hanging="420"/>
        <w:jc w:val="both"/>
        <w:rPr>
          <w:rFonts w:ascii="標楷體" w:eastAsia="標楷體" w:hAnsi="標楷體" w:cs="標楷體"/>
          <w:color w:val="000000"/>
          <w:sz w:val="28"/>
          <w:szCs w:val="28"/>
        </w:rPr>
      </w:pPr>
      <w:r>
        <w:rPr>
          <w:rFonts w:ascii="標楷體" w:eastAsia="標楷體" w:hAnsi="標楷體" w:cs="標楷體"/>
          <w:color w:val="000000"/>
          <w:sz w:val="28"/>
          <w:szCs w:val="28"/>
        </w:rPr>
        <w:t>14.</w:t>
      </w:r>
      <w:r>
        <w:rPr>
          <w:rFonts w:ascii="標楷體" w:eastAsia="標楷體" w:hAnsi="標楷體" w:cs="標楷體"/>
          <w:color w:val="000000"/>
          <w:sz w:val="28"/>
          <w:szCs w:val="28"/>
        </w:rPr>
        <w:t>年度性計畫所聘用之專業人員，核算基準得回溯至當年一月份或自聘用之日起算。</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（十）交通租賃費：除離島地區依各該縣政府訂定標準核給，偏遠地區依實際情形編列核給外，車輛每輛次最高新臺幣一萬二千元。離島及偏遠地區之界定依各機關學校公教員工地域加給表規定辦理。</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一）臨時托育費：送托立案托嬰中心、幼兒園或合法登記之居家托育人員臨托或教保服務，每次每小時以當年度中央勞工主管機關公告之基本工資時薪標準核給，全日托兒童每人每月最高補助新臺幣五千元，每人最高補助金額上限為新臺幣一萬五千元。但各直轄市、縣（市）政府訂定相關托育之收退費基（標）準較低者，依其基（標）準核給。</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（十二）接受補助辦公室租金之單位，同一地點限補助一次，申請時並應檢附租賃證明。</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（十三）專案性之延續性計畫得視計畫期程，先行核准，逐年撥款。</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（十四）雜費：包含攝影、桶裝水、茶包、咖啡包、文具、郵資、電</w:t>
      </w:r>
      <w:r>
        <w:rPr>
          <w:rFonts w:ascii="標楷體" w:eastAsia="標楷體" w:hAnsi="標楷體" w:cs="標楷體"/>
          <w:color w:val="000000"/>
          <w:spacing w:val="1"/>
          <w:sz w:val="28"/>
          <w:szCs w:val="28"/>
        </w:rPr>
        <w:t>池、衛生紙、垃圾袋等與活動計畫內容有關之消耗性雜支，最高新臺幣八千元。</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（十五）膳食費：</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開會、講習時間較長影響用餐時間，課程連續進行三小時以上，且逾十二時三十分或十八時，依規定供應餐盒。不補助點心費、飲料費，每人每日最高新臺幣一百元。</w:t>
      </w:r>
    </w:p>
    <w:p w:rsidR="003260C8" w:rsidRDefault="00326273">
      <w:pPr>
        <w:pStyle w:val="Standard"/>
        <w:snapToGrid w:val="0"/>
        <w:spacing w:line="460" w:lineRule="exact"/>
        <w:ind w:left="1955" w:hanging="280"/>
        <w:jc w:val="both"/>
      </w:pPr>
      <w:r>
        <w:rPr>
          <w:rFonts w:ascii="標楷體" w:eastAsia="標楷體" w:hAnsi="標楷體" w:cs="標楷體"/>
          <w:color w:val="000000"/>
          <w:sz w:val="28"/>
          <w:szCs w:val="28"/>
        </w:rPr>
        <w:lastRenderedPageBreak/>
        <w:t>2.</w:t>
      </w:r>
      <w:r>
        <w:rPr>
          <w:rFonts w:ascii="標楷體" w:eastAsia="標楷體" w:hAnsi="標楷體" w:cs="標楷體"/>
          <w:color w:val="000000"/>
          <w:sz w:val="28"/>
          <w:szCs w:val="28"/>
        </w:rPr>
        <w:t>連續數日過夜之相關研習訓練活動，每人每日最高新臺幣二百五十元（早餐五十元，午、晚餐各一百元）。辦理國際性研討會，參加對象主要為機關</w:t>
      </w:r>
      <w:r>
        <w:rPr>
          <w:rFonts w:ascii="標楷體" w:eastAsia="標楷體" w:hAnsi="標楷體" w:cs="標楷體"/>
          <w:color w:val="000000"/>
          <w:sz w:val="28"/>
          <w:szCs w:val="28"/>
        </w:rPr>
        <w:t>(</w:t>
      </w:r>
      <w:r>
        <w:rPr>
          <w:rFonts w:ascii="標楷體" w:eastAsia="標楷體" w:hAnsi="標楷體" w:cs="標楷體"/>
          <w:color w:val="000000"/>
          <w:sz w:val="28"/>
          <w:szCs w:val="28"/>
        </w:rPr>
        <w:t>構</w:t>
      </w:r>
      <w:r>
        <w:rPr>
          <w:rFonts w:ascii="標楷體" w:eastAsia="標楷體" w:hAnsi="標楷體" w:cs="標楷體"/>
          <w:color w:val="000000"/>
          <w:sz w:val="28"/>
          <w:szCs w:val="28"/>
        </w:rPr>
        <w:t>)</w:t>
      </w:r>
      <w:r>
        <w:rPr>
          <w:rFonts w:ascii="標楷體" w:eastAsia="標楷體" w:hAnsi="標楷體" w:cs="標楷體"/>
          <w:color w:val="000000"/>
          <w:sz w:val="28"/>
          <w:szCs w:val="28"/>
        </w:rPr>
        <w:t>以外之人士者，每人每日最高新臺幣六百元。</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（十六）獎金、獎品、服裝、紀念品、旅遊及聚餐性質之活動，不予補助。</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（十七）充實設施設備</w:t>
      </w:r>
      <w:r>
        <w:rPr>
          <w:rFonts w:ascii="標楷體" w:eastAsia="標楷體" w:hAnsi="標楷體" w:cs="標楷體"/>
          <w:color w:val="000000"/>
          <w:spacing w:val="1"/>
          <w:sz w:val="28"/>
          <w:szCs w:val="28"/>
        </w:rPr>
        <w:t>費：已核准補助相同之設施設備者，除有特殊理由外，每隔三年始得再提出申請；設施設備需汰舊換新者，依財物基準分類所列最低使用年限規定，已達使用年限且不堪使用者，始得再申請補助。每計畫最高新臺幣五萬元。但基於政策性或急迫性案件，不在此限。</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（十八）通譯費：日間每小時補助新臺幣三百元，晚上十時至翌日早上六時視為夜間，夜間費用為日間之二倍；通譯到場往返必須搭乘之飛機、汽車、火車、高鐵、捷運、輪船等交通費，均按實報支。</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（十九）場地租借費</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得含水電及清潔費</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一般規模場地</w:t>
      </w:r>
      <w:r>
        <w:rPr>
          <w:rFonts w:ascii="標楷體" w:eastAsia="標楷體" w:hAnsi="標楷體" w:cs="標楷體"/>
          <w:color w:val="000000"/>
          <w:sz w:val="28"/>
          <w:szCs w:val="28"/>
        </w:rPr>
        <w:t>(</w:t>
      </w:r>
      <w:r>
        <w:rPr>
          <w:rFonts w:ascii="標楷體" w:eastAsia="標楷體" w:hAnsi="標楷體" w:cs="標楷體"/>
          <w:color w:val="000000"/>
          <w:sz w:val="28"/>
          <w:szCs w:val="28"/>
        </w:rPr>
        <w:t>容納三十人至五十人</w:t>
      </w:r>
      <w:r>
        <w:rPr>
          <w:rFonts w:ascii="標楷體" w:eastAsia="標楷體" w:hAnsi="標楷體" w:cs="標楷體"/>
          <w:color w:val="000000"/>
          <w:sz w:val="28"/>
          <w:szCs w:val="28"/>
        </w:rPr>
        <w:t>)</w:t>
      </w:r>
      <w:r>
        <w:rPr>
          <w:rFonts w:ascii="標楷體" w:eastAsia="標楷體" w:hAnsi="標楷體" w:cs="標楷體"/>
          <w:color w:val="000000"/>
          <w:sz w:val="28"/>
          <w:szCs w:val="28"/>
        </w:rPr>
        <w:t>：每場次</w:t>
      </w:r>
      <w:r>
        <w:rPr>
          <w:rFonts w:ascii="標楷體" w:eastAsia="標楷體" w:hAnsi="標楷體" w:cs="標楷體"/>
          <w:color w:val="000000"/>
          <w:sz w:val="28"/>
          <w:szCs w:val="28"/>
        </w:rPr>
        <w:t>(</w:t>
      </w:r>
      <w:r>
        <w:rPr>
          <w:rFonts w:ascii="標楷體" w:eastAsia="標楷體" w:hAnsi="標楷體" w:cs="標楷體"/>
          <w:color w:val="000000"/>
          <w:sz w:val="28"/>
          <w:szCs w:val="28"/>
        </w:rPr>
        <w:t>半日</w:t>
      </w:r>
      <w:r>
        <w:rPr>
          <w:rFonts w:ascii="標楷體" w:eastAsia="標楷體" w:hAnsi="標楷體" w:cs="標楷體"/>
          <w:color w:val="000000"/>
          <w:sz w:val="28"/>
          <w:szCs w:val="28"/>
        </w:rPr>
        <w:t>)</w:t>
      </w:r>
      <w:r>
        <w:rPr>
          <w:rFonts w:ascii="標楷體" w:eastAsia="標楷體" w:hAnsi="標楷體" w:cs="標楷體"/>
          <w:color w:val="000000"/>
          <w:sz w:val="28"/>
          <w:szCs w:val="28"/>
        </w:rPr>
        <w:t>最高</w:t>
      </w:r>
      <w:r>
        <w:rPr>
          <w:rFonts w:ascii="標楷體" w:eastAsia="標楷體" w:hAnsi="標楷體" w:cs="標楷體"/>
          <w:color w:val="000000"/>
          <w:sz w:val="28"/>
          <w:szCs w:val="28"/>
        </w:rPr>
        <w:t>新臺幣三千元。</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二百人以上活動所需場地租借費，依個案審查核定補助。</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同時租借上課及托育場地，僅補助上課場地。</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使用補助單位之內部場地，不予補助。</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（二十）專案服務費：</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專案人員以每月新臺幣二萬五千元核算，補助全職專案人力；應檢附學經歷證明文件並敘明工作項目、內容及所需工作時間，由新住民發展基金管理會（以下簡稱本會）依個案審查核定補助。</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每一計畫以補助一人為限。</w:t>
      </w:r>
    </w:p>
    <w:p w:rsidR="003260C8" w:rsidRDefault="00326273">
      <w:pPr>
        <w:pStyle w:val="Standard"/>
        <w:snapToGrid w:val="0"/>
        <w:spacing w:line="460" w:lineRule="exact"/>
        <w:ind w:left="1955" w:hanging="280"/>
        <w:jc w:val="both"/>
      </w:pPr>
      <w:r>
        <w:rPr>
          <w:rFonts w:ascii="標楷體" w:eastAsia="標楷體" w:hAnsi="標楷體" w:cs="標楷體"/>
          <w:color w:val="000000"/>
          <w:sz w:val="28"/>
          <w:szCs w:val="28"/>
        </w:rPr>
        <w:t>3.</w:t>
      </w:r>
      <w:r>
        <w:rPr>
          <w:rFonts w:ascii="標楷體" w:eastAsia="標楷體" w:hAnsi="標楷體" w:cs="標楷體"/>
          <w:color w:val="000000"/>
          <w:sz w:val="28"/>
          <w:szCs w:val="28"/>
        </w:rPr>
        <w:t>申請專案服務費之申請補助單位，應依據勞動基準法、全民健康保險法、勞工退休金條例及各機關學校聘僱人員離職給與辦法等相關規定核實</w:t>
      </w:r>
      <w:r>
        <w:rPr>
          <w:rFonts w:ascii="標楷體" w:eastAsia="標楷體" w:hAnsi="標楷體" w:cs="標楷體"/>
          <w:color w:val="000000"/>
          <w:sz w:val="28"/>
          <w:szCs w:val="28"/>
        </w:rPr>
        <w:t>編列受僱者勞保費、健</w:t>
      </w:r>
      <w:r>
        <w:rPr>
          <w:rFonts w:ascii="標楷體" w:eastAsia="標楷體" w:hAnsi="標楷體" w:cs="標楷體"/>
          <w:color w:val="000000"/>
          <w:sz w:val="28"/>
          <w:szCs w:val="28"/>
        </w:rPr>
        <w:lastRenderedPageBreak/>
        <w:t>保費、公提離職儲金或公提退休金費用，並於結報時檢附相關繳款單影本一份。</w:t>
      </w:r>
    </w:p>
    <w:p w:rsidR="003260C8" w:rsidRDefault="00326273">
      <w:pPr>
        <w:pStyle w:val="Standard"/>
        <w:snapToGrid w:val="0"/>
        <w:spacing w:line="460" w:lineRule="exact"/>
        <w:ind w:left="1955"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支領專案服務費之受僱者，不得再兼任其他機關之補助或委託計畫。</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（二十一）講師遠程交通費：赴三十公里以外遠地授課或赴離島地區搭機（船）授課，應檢據核實報支交通費。</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（二十二）講師住宿費：限赴離島地區授課，應檢據核實報支，每日最高新臺幣二千元。</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（二十三）門票費：每一計畫案每人最高補助新臺幣三百元，應檢據核實報支。以辦理政策性專案計畫為優先補助對象，其他非政策性計畫，應檢附具體事由審查。</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（二十四）印刷費：依計畫需要核實編列。</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（二十五）保險費：凡辦理各類課程、會議、講習訓練及其他活動所需之平安保險費屬之。應檢據核實報支，並依公務人員執行職務意外傷亡慰問金發給辦法規定，各機關學校不得再為其公教人員投保額外險。</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（二十六）材料費：材料費不得逾申請總經費與課程分類材料費編列比率之乘積：</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語文類：基礎語文類課程為最高總經費百分之二十。</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多元文化類：音樂戲劇、文化展演及冬、夏令營隊等（不含科學類）最高為總經費百分之二十。</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餐飲烘焙類：烹調、料理、膳食等課程最高為總經費百分之二十。</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4.</w:t>
      </w:r>
      <w:r>
        <w:rPr>
          <w:rFonts w:ascii="標楷體" w:eastAsia="標楷體" w:hAnsi="標楷體" w:cs="標楷體"/>
          <w:color w:val="000000"/>
          <w:sz w:val="28"/>
          <w:szCs w:val="28"/>
        </w:rPr>
        <w:t>手工藝品類：手工藝、花藝、繪畫、雕塑等藝術類課程最高為總經費百分之三十五。</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color w:val="000000"/>
          <w:sz w:val="28"/>
          <w:szCs w:val="28"/>
        </w:rPr>
        <w:t>科學類：機器人的認識與應用、自然學習等最高為總經費百分之三十五。</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6.</w:t>
      </w:r>
      <w:r>
        <w:rPr>
          <w:rFonts w:ascii="標楷體" w:eastAsia="標楷體" w:hAnsi="標楷體" w:cs="標楷體"/>
          <w:color w:val="000000"/>
          <w:sz w:val="28"/>
          <w:szCs w:val="28"/>
        </w:rPr>
        <w:t>美容、美髮及芳療推拿類：美容、美髮、新娘秘書、彩妝及指甲彩繪相關課程最高為總經費百分之四十。</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7.</w:t>
      </w:r>
      <w:r>
        <w:rPr>
          <w:rFonts w:ascii="標楷體" w:eastAsia="標楷體" w:hAnsi="標楷體" w:cs="標楷體"/>
          <w:color w:val="000000"/>
          <w:sz w:val="28"/>
          <w:szCs w:val="28"/>
        </w:rPr>
        <w:t>其他類：其餘無法歸屬類別之課程最高為總經費百分</w:t>
      </w:r>
      <w:r>
        <w:rPr>
          <w:rFonts w:ascii="標楷體" w:eastAsia="標楷體" w:hAnsi="標楷體" w:cs="標楷體"/>
          <w:color w:val="000000"/>
          <w:sz w:val="28"/>
          <w:szCs w:val="28"/>
        </w:rPr>
        <w:lastRenderedPageBreak/>
        <w:t>之三十五。</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（二十七）教材費</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每一班別，每人最高新臺幣三百元。</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（二十八）場地布置費</w:t>
      </w:r>
      <w:r>
        <w:rPr>
          <w:rFonts w:ascii="標楷體" w:eastAsia="標楷體" w:hAnsi="標楷體" w:cs="標楷體"/>
          <w:color w:val="000000"/>
          <w:spacing w:val="1"/>
          <w:sz w:val="28"/>
          <w:szCs w:val="28"/>
        </w:rPr>
        <w:t>:</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每一班別，最高新臺幣三千元。</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二百人以上活動所需場地布置費，另依需求核實編列。</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（二十九）器材租借費：</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每一計畫器</w:t>
      </w:r>
      <w:r>
        <w:rPr>
          <w:rFonts w:ascii="標楷體" w:eastAsia="標楷體" w:hAnsi="標楷體" w:cs="標楷體"/>
          <w:color w:val="000000"/>
          <w:sz w:val="28"/>
          <w:szCs w:val="28"/>
        </w:rPr>
        <w:t>材租借費最高新臺幣一萬元。</w:t>
      </w:r>
    </w:p>
    <w:p w:rsidR="003260C8" w:rsidRDefault="00326273">
      <w:pPr>
        <w:pStyle w:val="Standard"/>
        <w:snapToGrid w:val="0"/>
        <w:spacing w:line="460" w:lineRule="exact"/>
        <w:ind w:left="220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二百人以上活動所需器材租借費，另依需求核實編列。</w:t>
      </w:r>
    </w:p>
    <w:p w:rsidR="003260C8" w:rsidRDefault="00326273">
      <w:pPr>
        <w:pStyle w:val="Standard"/>
        <w:snapToGrid w:val="0"/>
        <w:spacing w:line="460" w:lineRule="exact"/>
        <w:ind w:left="1616" w:hanging="1134"/>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（三十）專案計畫主持費：政策性計畫得視需求申請。</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（三十一）一日性或一次性活動，包含觀摩、康樂、園遊會及節慶等活動不予補助。但具政策性或延續效益者，不在此限。</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（三十二）每人每月支領本基金補助經費總額</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不含支領專業服務費及專案服務費者</w:t>
      </w:r>
      <w:r>
        <w:rPr>
          <w:rFonts w:ascii="標楷體" w:eastAsia="標楷體" w:hAnsi="標楷體" w:cs="標楷體"/>
          <w:color w:val="000000"/>
          <w:spacing w:val="1"/>
          <w:sz w:val="28"/>
          <w:szCs w:val="28"/>
        </w:rPr>
        <w:t>)</w:t>
      </w:r>
      <w:r>
        <w:rPr>
          <w:rFonts w:ascii="標楷體" w:eastAsia="標楷體" w:hAnsi="標楷體" w:cs="標楷體"/>
          <w:color w:val="000000"/>
          <w:spacing w:val="1"/>
          <w:sz w:val="28"/>
          <w:szCs w:val="28"/>
        </w:rPr>
        <w:t>不得超過法定基本工資月薪標準。</w:t>
      </w:r>
    </w:p>
    <w:p w:rsidR="003260C8" w:rsidRDefault="00326273">
      <w:pPr>
        <w:pStyle w:val="Standard"/>
        <w:snapToGrid w:val="0"/>
        <w:spacing w:line="460" w:lineRule="exact"/>
        <w:ind w:left="1900" w:hanging="1418"/>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（三十三）其他項目參照附屬單位預算執行要點規定辦理。</w:t>
      </w:r>
    </w:p>
    <w:p w:rsidR="003260C8" w:rsidRDefault="00326273">
      <w:pPr>
        <w:pStyle w:val="Standard"/>
        <w:snapToGrid w:val="0"/>
        <w:spacing w:line="460" w:lineRule="exact"/>
        <w:ind w:left="482"/>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申請單位補助計畫逾期未核銷結案，且未依新住民發展基金補助作業要點規定辦理展延者，如欲再申請新案件，不予核定補助。</w:t>
      </w:r>
    </w:p>
    <w:p w:rsidR="003260C8" w:rsidRDefault="00326273">
      <w:pPr>
        <w:pStyle w:val="Standard"/>
        <w:snapToGrid w:val="0"/>
        <w:spacing w:line="460" w:lineRule="exact"/>
        <w:ind w:left="962" w:hanging="480"/>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第一項第二款第一目之二國內專家學者之一般授課鐘點費如下：</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（一）具下列資格條件之一者，每節課最高新臺幣二千元：</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大專校院以上畢業。</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持有中央勞動主管機關核發甲級、乙級證照或單一級證照。</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具相關團體專業領域服務實績六年以上。</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（二）具下列資格條件之一者，每節課最高新臺幣一千六百元：</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高中職以下學校畢業。</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持有中央勞動主管機關核發丙級證照或單一級證照。</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w:t>
      </w:r>
      <w:r>
        <w:rPr>
          <w:rFonts w:ascii="標楷體" w:eastAsia="標楷體" w:hAnsi="標楷體" w:cs="標楷體"/>
          <w:color w:val="000000"/>
          <w:sz w:val="28"/>
          <w:szCs w:val="28"/>
        </w:rPr>
        <w:t>實績三年以上未滿六年。</w:t>
      </w:r>
    </w:p>
    <w:p w:rsidR="003260C8" w:rsidRDefault="00326273">
      <w:pPr>
        <w:pStyle w:val="Standard"/>
        <w:snapToGrid w:val="0"/>
        <w:spacing w:line="460" w:lineRule="exact"/>
        <w:ind w:left="482"/>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第一項第二款第二目講座之一般授課鐘點費如下：</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t>（一）具下列資格條件之一者，每節課最高新臺幣一千元：</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大專校院以上畢業。</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持有中央勞動主管機關核發甲級、乙級證照或單一級證照。</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具相關團體專業領域服務實績六年以上。</w:t>
      </w:r>
    </w:p>
    <w:p w:rsidR="003260C8" w:rsidRDefault="00326273">
      <w:pPr>
        <w:pStyle w:val="Standard"/>
        <w:snapToGrid w:val="0"/>
        <w:spacing w:line="460" w:lineRule="exact"/>
        <w:ind w:left="1327" w:hanging="845"/>
        <w:jc w:val="both"/>
        <w:rPr>
          <w:rFonts w:ascii="標楷體" w:eastAsia="標楷體" w:hAnsi="標楷體" w:cs="標楷體"/>
          <w:color w:val="000000"/>
          <w:spacing w:val="1"/>
          <w:sz w:val="28"/>
          <w:szCs w:val="28"/>
        </w:rPr>
      </w:pPr>
      <w:r>
        <w:rPr>
          <w:rFonts w:ascii="標楷體" w:eastAsia="標楷體" w:hAnsi="標楷體" w:cs="標楷體"/>
          <w:color w:val="000000"/>
          <w:spacing w:val="1"/>
          <w:sz w:val="28"/>
          <w:szCs w:val="28"/>
        </w:rPr>
        <w:lastRenderedPageBreak/>
        <w:t>（二）具下列資格條件之一者，每節課最高新臺幣八百元：</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Pr>
          <w:rFonts w:ascii="標楷體" w:eastAsia="標楷體" w:hAnsi="標楷體" w:cs="標楷體"/>
          <w:color w:val="000000"/>
          <w:sz w:val="28"/>
          <w:szCs w:val="28"/>
        </w:rPr>
        <w:t>高中職以下學校畢業。</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w:t>
      </w:r>
      <w:r>
        <w:rPr>
          <w:rFonts w:ascii="標楷體" w:eastAsia="標楷體" w:hAnsi="標楷體" w:cs="標楷體"/>
          <w:color w:val="000000"/>
          <w:sz w:val="28"/>
          <w:szCs w:val="28"/>
        </w:rPr>
        <w:t>持有中央勞動主管機關核發丙級證照或單一級證照。</w:t>
      </w:r>
    </w:p>
    <w:p w:rsidR="003260C8" w:rsidRDefault="00326273">
      <w:pPr>
        <w:pStyle w:val="Standard"/>
        <w:snapToGrid w:val="0"/>
        <w:spacing w:line="460" w:lineRule="exact"/>
        <w:ind w:left="1720"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3.</w:t>
      </w:r>
      <w:r>
        <w:rPr>
          <w:rFonts w:ascii="標楷體" w:eastAsia="標楷體" w:hAnsi="標楷體" w:cs="標楷體"/>
          <w:color w:val="000000"/>
          <w:sz w:val="28"/>
          <w:szCs w:val="28"/>
        </w:rPr>
        <w:t>具相關團體專業領域服務實績三年以上未滿六年。</w:t>
      </w:r>
    </w:p>
    <w:p w:rsidR="003260C8" w:rsidRDefault="00326273">
      <w:pPr>
        <w:pStyle w:val="Standard"/>
        <w:pageBreakBefore/>
      </w:pPr>
      <w:r>
        <w:rPr>
          <w:rFonts w:ascii="標楷體" w:eastAsia="標楷體" w:hAnsi="標楷體" w:cs="標楷體"/>
          <w:color w:val="000000"/>
        </w:rPr>
        <w:lastRenderedPageBreak/>
        <w:t>第二點附件十修正規定</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附件十</w:t>
      </w:r>
    </w:p>
    <w:p w:rsidR="003260C8" w:rsidRDefault="00326273">
      <w:pPr>
        <w:pStyle w:val="Standard"/>
        <w:snapToGrid w:val="0"/>
        <w:spacing w:after="72"/>
        <w:jc w:val="center"/>
        <w:rPr>
          <w:rFonts w:ascii="標楷體" w:eastAsia="標楷體" w:hAnsi="標楷體" w:cs="標楷體"/>
          <w:bCs/>
          <w:color w:val="000000"/>
        </w:rPr>
      </w:pPr>
      <w:r>
        <w:rPr>
          <w:rFonts w:ascii="標楷體" w:eastAsia="標楷體" w:hAnsi="標楷體" w:cs="標楷體"/>
          <w:bCs/>
          <w:color w:val="000000"/>
        </w:rPr>
        <w:t>專業人員考核表</w:t>
      </w:r>
    </w:p>
    <w:tbl>
      <w:tblPr>
        <w:tblW w:w="10667" w:type="dxa"/>
        <w:jc w:val="center"/>
        <w:tblLayout w:type="fixed"/>
        <w:tblCellMar>
          <w:left w:w="10" w:type="dxa"/>
          <w:right w:w="10" w:type="dxa"/>
        </w:tblCellMar>
        <w:tblLook w:val="0000" w:firstRow="0" w:lastRow="0" w:firstColumn="0" w:lastColumn="0" w:noHBand="0" w:noVBand="0"/>
      </w:tblPr>
      <w:tblGrid>
        <w:gridCol w:w="1303"/>
        <w:gridCol w:w="2268"/>
        <w:gridCol w:w="2692"/>
        <w:gridCol w:w="878"/>
        <w:gridCol w:w="31"/>
        <w:gridCol w:w="848"/>
        <w:gridCol w:w="440"/>
        <w:gridCol w:w="439"/>
        <w:gridCol w:w="879"/>
        <w:gridCol w:w="889"/>
      </w:tblGrid>
      <w:tr w:rsidR="003260C8">
        <w:tblPrEx>
          <w:tblCellMar>
            <w:top w:w="0" w:type="dxa"/>
            <w:bottom w:w="0" w:type="dxa"/>
          </w:tblCellMar>
        </w:tblPrEx>
        <w:trPr>
          <w:trHeight w:val="36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單位：</w:t>
            </w: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員工代碼：</w:t>
            </w:r>
          </w:p>
        </w:tc>
        <w:tc>
          <w:tcPr>
            <w:tcW w:w="26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職稱：</w:t>
            </w:r>
          </w:p>
        </w:tc>
        <w:tc>
          <w:tcPr>
            <w:tcW w:w="2197"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姓名：</w:t>
            </w: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到職日：</w:t>
            </w:r>
          </w:p>
        </w:tc>
      </w:tr>
      <w:tr w:rsidR="003260C8">
        <w:tblPrEx>
          <w:tblCellMar>
            <w:top w:w="0" w:type="dxa"/>
            <w:bottom w:w="0" w:type="dxa"/>
          </w:tblCellMar>
        </w:tblPrEx>
        <w:trPr>
          <w:trHeight w:val="174"/>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26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2197"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2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17"/>
          <w:jc w:val="center"/>
        </w:trPr>
        <w:tc>
          <w:tcPr>
            <w:tcW w:w="1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項</w:t>
            </w:r>
            <w:r>
              <w:rPr>
                <w:rFonts w:ascii="標楷體" w:eastAsia="標楷體" w:hAnsi="標楷體" w:cs="標楷體"/>
                <w:color w:val="000000"/>
              </w:rPr>
              <w:t xml:space="preserve">  </w:t>
            </w:r>
            <w:r>
              <w:rPr>
                <w:rFonts w:ascii="標楷體" w:eastAsia="標楷體" w:hAnsi="標楷體" w:cs="標楷體"/>
                <w:color w:val="000000"/>
              </w:rPr>
              <w:t>目</w:t>
            </w:r>
          </w:p>
        </w:tc>
        <w:tc>
          <w:tcPr>
            <w:tcW w:w="4960"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標</w:t>
            </w:r>
            <w:r>
              <w:rPr>
                <w:rFonts w:ascii="標楷體" w:eastAsia="標楷體" w:hAnsi="標楷體" w:cs="標楷體"/>
                <w:color w:val="000000"/>
              </w:rPr>
              <w:t xml:space="preserve">                     </w:t>
            </w:r>
            <w:r>
              <w:rPr>
                <w:rFonts w:ascii="標楷體" w:eastAsia="標楷體" w:hAnsi="標楷體" w:cs="標楷體"/>
                <w:color w:val="000000"/>
              </w:rPr>
              <w:t>準</w:t>
            </w:r>
          </w:p>
        </w:tc>
        <w:tc>
          <w:tcPr>
            <w:tcW w:w="44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直</w:t>
            </w:r>
            <w:r>
              <w:rPr>
                <w:rFonts w:ascii="標楷體" w:eastAsia="標楷體" w:hAnsi="標楷體" w:cs="標楷體"/>
                <w:color w:val="000000"/>
              </w:rPr>
              <w:t xml:space="preserve">  </w:t>
            </w:r>
            <w:r>
              <w:rPr>
                <w:rFonts w:ascii="標楷體" w:eastAsia="標楷體" w:hAnsi="標楷體" w:cs="標楷體"/>
                <w:color w:val="000000"/>
              </w:rPr>
              <w:t>屬</w:t>
            </w:r>
            <w:r>
              <w:rPr>
                <w:rFonts w:ascii="標楷體" w:eastAsia="標楷體" w:hAnsi="標楷體" w:cs="標楷體"/>
                <w:color w:val="000000"/>
              </w:rPr>
              <w:t xml:space="preserve">  </w:t>
            </w:r>
            <w:r>
              <w:rPr>
                <w:rFonts w:ascii="標楷體" w:eastAsia="標楷體" w:hAnsi="標楷體" w:cs="標楷體"/>
                <w:color w:val="000000"/>
              </w:rPr>
              <w:t>或</w:t>
            </w:r>
            <w:r>
              <w:rPr>
                <w:rFonts w:ascii="標楷體" w:eastAsia="標楷體" w:hAnsi="標楷體" w:cs="標楷體"/>
                <w:color w:val="000000"/>
              </w:rPr>
              <w:t xml:space="preserve">  </w:t>
            </w:r>
            <w:r>
              <w:rPr>
                <w:rFonts w:ascii="標楷體" w:eastAsia="標楷體" w:hAnsi="標楷體" w:cs="標楷體"/>
                <w:color w:val="000000"/>
              </w:rPr>
              <w:t>上</w:t>
            </w:r>
            <w:r>
              <w:rPr>
                <w:rFonts w:ascii="標楷體" w:eastAsia="標楷體" w:hAnsi="標楷體" w:cs="標楷體"/>
                <w:color w:val="000000"/>
              </w:rPr>
              <w:t xml:space="preserve">  </w:t>
            </w:r>
            <w:r>
              <w:rPr>
                <w:rFonts w:ascii="標楷體" w:eastAsia="標楷體" w:hAnsi="標楷體" w:cs="標楷體"/>
                <w:color w:val="000000"/>
              </w:rPr>
              <w:t>級</w:t>
            </w:r>
            <w:r>
              <w:rPr>
                <w:rFonts w:ascii="標楷體" w:eastAsia="標楷體" w:hAnsi="標楷體" w:cs="標楷體"/>
                <w:color w:val="000000"/>
              </w:rPr>
              <w:t xml:space="preserve">  </w:t>
            </w:r>
            <w:r>
              <w:rPr>
                <w:rFonts w:ascii="標楷體" w:eastAsia="標楷體" w:hAnsi="標楷體" w:cs="標楷體"/>
                <w:color w:val="000000"/>
              </w:rPr>
              <w:t>長</w:t>
            </w:r>
            <w:r>
              <w:rPr>
                <w:rFonts w:ascii="標楷體" w:eastAsia="標楷體" w:hAnsi="標楷體" w:cs="標楷體"/>
                <w:color w:val="000000"/>
              </w:rPr>
              <w:t xml:space="preserve">  </w:t>
            </w:r>
            <w:r>
              <w:rPr>
                <w:rFonts w:ascii="標楷體" w:eastAsia="標楷體" w:hAnsi="標楷體" w:cs="標楷體"/>
                <w:color w:val="000000"/>
              </w:rPr>
              <w:t>官</w:t>
            </w:r>
            <w:r>
              <w:rPr>
                <w:rFonts w:ascii="標楷體" w:eastAsia="標楷體" w:hAnsi="標楷體" w:cs="標楷體"/>
                <w:color w:val="000000"/>
              </w:rPr>
              <w:t xml:space="preserve">  </w:t>
            </w:r>
            <w:r>
              <w:rPr>
                <w:rFonts w:ascii="標楷體" w:eastAsia="標楷體" w:hAnsi="標楷體" w:cs="標楷體"/>
                <w:color w:val="000000"/>
              </w:rPr>
              <w:t>評</w:t>
            </w:r>
            <w:r>
              <w:rPr>
                <w:rFonts w:ascii="標楷體" w:eastAsia="標楷體" w:hAnsi="標楷體" w:cs="標楷體"/>
                <w:color w:val="000000"/>
              </w:rPr>
              <w:t xml:space="preserve">  </w:t>
            </w:r>
            <w:r>
              <w:rPr>
                <w:rFonts w:ascii="標楷體" w:eastAsia="標楷體" w:hAnsi="標楷體" w:cs="標楷體"/>
                <w:color w:val="000000"/>
              </w:rPr>
              <w:t>分</w:t>
            </w:r>
          </w:p>
        </w:tc>
      </w:tr>
      <w:tr w:rsidR="003260C8">
        <w:tblPrEx>
          <w:tblCellMar>
            <w:top w:w="0" w:type="dxa"/>
            <w:bottom w:w="0" w:type="dxa"/>
          </w:tblCellMar>
        </w:tblPrEx>
        <w:trPr>
          <w:cantSplit/>
          <w:trHeight w:val="5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５</w:t>
            </w: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４</w:t>
            </w: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３</w:t>
            </w: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２</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color w:val="000000"/>
              </w:rPr>
            </w:pPr>
            <w:r>
              <w:rPr>
                <w:rFonts w:ascii="標楷體" w:eastAsia="標楷體" w:hAnsi="標楷體" w:cs="標楷體"/>
                <w:color w:val="000000"/>
              </w:rPr>
              <w:t>１</w:t>
            </w:r>
          </w:p>
        </w:tc>
      </w:tr>
      <w:tr w:rsidR="003260C8">
        <w:tblPrEx>
          <w:tblCellMar>
            <w:top w:w="0" w:type="dxa"/>
            <w:bottom w:w="0" w:type="dxa"/>
          </w:tblCellMar>
        </w:tblPrEx>
        <w:trPr>
          <w:cantSplit/>
          <w:trHeight w:val="280"/>
          <w:jc w:val="center"/>
        </w:trPr>
        <w:tc>
          <w:tcPr>
            <w:tcW w:w="1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工作績效</w:t>
            </w:r>
          </w:p>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45%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處理業務是否精確妥善暨數量之多寡</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能否依限完成應辦之工作</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能否運用科學方法辦事執簡馭繁有條不紊</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能否不待督促自動自發積極辦理</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能否任勞任怨勇於負責</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作事能否貫徹始終力行不懈</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能否配合全盤業務進展加強連繫和衷共濟</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體力是否強健，能否勝任工作</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敘述是否簡要中肯言詞是否詳實清晰</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工作態度（</w:t>
            </w:r>
            <w:r>
              <w:rPr>
                <w:rFonts w:ascii="標楷體" w:eastAsia="標楷體" w:hAnsi="標楷體" w:cs="標楷體"/>
                <w:color w:val="000000"/>
              </w:rPr>
              <w:t>15%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對應辦業務能否不斷檢討力求改進</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是否具有團隊合作、跨團隊協調之良好態度</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是否好學勤奮及有無特殊嗜好</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80"/>
          <w:jc w:val="center"/>
        </w:trPr>
        <w:tc>
          <w:tcPr>
            <w:tcW w:w="1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服務品質（</w:t>
            </w:r>
            <w:r>
              <w:rPr>
                <w:rFonts w:ascii="標楷體" w:eastAsia="標楷體" w:hAnsi="標楷體" w:cs="標楷體"/>
                <w:color w:val="000000"/>
              </w:rPr>
              <w:t>10%</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對本職學識是否充裕經驗及常識是否豐富</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cantSplit/>
          <w:trHeight w:val="235"/>
          <w:jc w:val="center"/>
        </w:trPr>
        <w:tc>
          <w:tcPr>
            <w:tcW w:w="1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rPr>
                <w:rFonts w:hint="eastAsia"/>
              </w:rPr>
            </w:pP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能否充實學識技能運用科學頭腦判別是非</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出勤情形（</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是否經常怠工或溜班、請假、遲到早退、曠職</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研究發展（</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對應辦業務有無研發及創見</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獎懲</w:t>
            </w:r>
          </w:p>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是否有獎勵或懲處情形</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教育訓練（</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參加教育訓練情形</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成本管控（</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對經管業務成本管控情形</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280"/>
          <w:jc w:val="center"/>
        </w:trPr>
        <w:tc>
          <w:tcPr>
            <w:tcW w:w="1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會議提案（</w:t>
            </w:r>
            <w:r>
              <w:rPr>
                <w:rFonts w:ascii="標楷體" w:eastAsia="標楷體" w:hAnsi="標楷體" w:cs="標楷體"/>
                <w:color w:val="000000"/>
              </w:rPr>
              <w:t>5%</w:t>
            </w:r>
            <w:r>
              <w:rPr>
                <w:rFonts w:ascii="標楷體" w:eastAsia="標楷體" w:hAnsi="標楷體" w:cs="標楷體"/>
                <w:color w:val="000000"/>
              </w:rPr>
              <w:t>）</w:t>
            </w:r>
          </w:p>
        </w:tc>
        <w:tc>
          <w:tcPr>
            <w:tcW w:w="49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both"/>
              <w:rPr>
                <w:rFonts w:ascii="標楷體" w:eastAsia="標楷體" w:hAnsi="標楷體" w:cs="標楷體"/>
                <w:color w:val="000000"/>
              </w:rPr>
            </w:pPr>
            <w:r>
              <w:rPr>
                <w:rFonts w:ascii="標楷體" w:eastAsia="標楷體" w:hAnsi="標楷體" w:cs="標楷體"/>
                <w:color w:val="000000"/>
              </w:rPr>
              <w:t>參與會議出席及提案情形</w:t>
            </w:r>
          </w:p>
        </w:tc>
        <w:tc>
          <w:tcPr>
            <w:tcW w:w="8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rPr>
                <w:rFonts w:ascii="標楷體" w:eastAsia="標楷體" w:hAnsi="標楷體" w:cs="標楷體"/>
                <w:color w:val="000000"/>
              </w:rPr>
            </w:pPr>
          </w:p>
        </w:tc>
      </w:tr>
      <w:tr w:rsidR="003260C8">
        <w:tblPrEx>
          <w:tblCellMar>
            <w:top w:w="0" w:type="dxa"/>
            <w:bottom w:w="0" w:type="dxa"/>
          </w:tblCellMar>
        </w:tblPrEx>
        <w:trPr>
          <w:trHeight w:val="199"/>
          <w:jc w:val="center"/>
        </w:trPr>
        <w:tc>
          <w:tcPr>
            <w:tcW w:w="626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b/>
                <w:color w:val="000000"/>
              </w:rPr>
            </w:pPr>
            <w:r>
              <w:rPr>
                <w:rFonts w:ascii="標楷體" w:eastAsia="標楷體" w:hAnsi="標楷體" w:cs="標楷體"/>
                <w:b/>
                <w:color w:val="000000"/>
              </w:rPr>
              <w:t>總分</w:t>
            </w:r>
          </w:p>
        </w:tc>
        <w:tc>
          <w:tcPr>
            <w:tcW w:w="44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ind w:hanging="2"/>
              <w:jc w:val="center"/>
              <w:rPr>
                <w:rFonts w:ascii="標楷體" w:eastAsia="標楷體" w:hAnsi="標楷體" w:cs="標楷體"/>
                <w:color w:val="000000"/>
              </w:rPr>
            </w:pPr>
          </w:p>
        </w:tc>
      </w:tr>
      <w:tr w:rsidR="003260C8">
        <w:tblPrEx>
          <w:tblCellMar>
            <w:top w:w="0" w:type="dxa"/>
            <w:bottom w:w="0" w:type="dxa"/>
          </w:tblCellMar>
        </w:tblPrEx>
        <w:trPr>
          <w:trHeight w:val="572"/>
          <w:jc w:val="center"/>
        </w:trPr>
        <w:tc>
          <w:tcPr>
            <w:tcW w:w="626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b/>
                <w:color w:val="000000"/>
              </w:rPr>
            </w:pPr>
            <w:r>
              <w:rPr>
                <w:rFonts w:ascii="標楷體" w:eastAsia="標楷體" w:hAnsi="標楷體" w:cs="標楷體"/>
                <w:b/>
                <w:color w:val="000000"/>
              </w:rPr>
              <w:t>直</w:t>
            </w:r>
            <w:r>
              <w:rPr>
                <w:rFonts w:ascii="標楷體" w:eastAsia="標楷體" w:hAnsi="標楷體" w:cs="標楷體"/>
                <w:b/>
                <w:color w:val="000000"/>
              </w:rPr>
              <w:t xml:space="preserve">     </w:t>
            </w:r>
            <w:r>
              <w:rPr>
                <w:rFonts w:ascii="標楷體" w:eastAsia="標楷體" w:hAnsi="標楷體" w:cs="標楷體"/>
                <w:b/>
                <w:color w:val="000000"/>
              </w:rPr>
              <w:t>屬</w:t>
            </w:r>
            <w:r>
              <w:rPr>
                <w:rFonts w:ascii="標楷體" w:eastAsia="標楷體" w:hAnsi="標楷體" w:cs="標楷體"/>
                <w:b/>
                <w:color w:val="000000"/>
              </w:rPr>
              <w:t xml:space="preserve">     </w:t>
            </w:r>
            <w:r>
              <w:rPr>
                <w:rFonts w:ascii="標楷體" w:eastAsia="標楷體" w:hAnsi="標楷體" w:cs="標楷體"/>
                <w:b/>
                <w:color w:val="000000"/>
              </w:rPr>
              <w:t>長</w:t>
            </w:r>
            <w:r>
              <w:rPr>
                <w:rFonts w:ascii="標楷體" w:eastAsia="標楷體" w:hAnsi="標楷體" w:cs="標楷體"/>
                <w:b/>
                <w:color w:val="000000"/>
              </w:rPr>
              <w:t xml:space="preserve">     </w:t>
            </w:r>
            <w:r>
              <w:rPr>
                <w:rFonts w:ascii="標楷體" w:eastAsia="標楷體" w:hAnsi="標楷體" w:cs="標楷體"/>
                <w:b/>
                <w:color w:val="000000"/>
              </w:rPr>
              <w:t>官</w:t>
            </w:r>
            <w:r>
              <w:rPr>
                <w:rFonts w:ascii="標楷體" w:eastAsia="標楷體" w:hAnsi="標楷體" w:cs="標楷體"/>
                <w:b/>
                <w:color w:val="000000"/>
              </w:rPr>
              <w:t xml:space="preserve">     </w:t>
            </w:r>
            <w:r>
              <w:rPr>
                <w:rFonts w:ascii="標楷體" w:eastAsia="標楷體" w:hAnsi="標楷體" w:cs="標楷體"/>
                <w:b/>
                <w:color w:val="000000"/>
              </w:rPr>
              <w:t>評</w:t>
            </w:r>
            <w:r>
              <w:rPr>
                <w:rFonts w:ascii="標楷體" w:eastAsia="標楷體" w:hAnsi="標楷體" w:cs="標楷體"/>
                <w:b/>
                <w:color w:val="000000"/>
              </w:rPr>
              <w:t xml:space="preserve">     </w:t>
            </w:r>
            <w:r>
              <w:rPr>
                <w:rFonts w:ascii="標楷體" w:eastAsia="標楷體" w:hAnsi="標楷體" w:cs="標楷體"/>
                <w:b/>
                <w:color w:val="000000"/>
              </w:rPr>
              <w:t>語</w:t>
            </w:r>
          </w:p>
        </w:tc>
        <w:tc>
          <w:tcPr>
            <w:tcW w:w="9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b/>
                <w:color w:val="000000"/>
              </w:rPr>
            </w:pPr>
            <w:r>
              <w:rPr>
                <w:rFonts w:ascii="標楷體" w:eastAsia="標楷體" w:hAnsi="標楷體" w:cs="標楷體"/>
                <w:b/>
                <w:color w:val="000000"/>
              </w:rPr>
              <w:t>人</w:t>
            </w:r>
            <w:r>
              <w:rPr>
                <w:rFonts w:ascii="標楷體" w:eastAsia="標楷體" w:hAnsi="標楷體" w:cs="標楷體"/>
                <w:b/>
                <w:color w:val="000000"/>
              </w:rPr>
              <w:t xml:space="preserve"> </w:t>
            </w:r>
            <w:r>
              <w:rPr>
                <w:rFonts w:ascii="標楷體" w:eastAsia="標楷體" w:hAnsi="標楷體" w:cs="標楷體"/>
                <w:b/>
                <w:color w:val="000000"/>
              </w:rPr>
              <w:t>事單</w:t>
            </w:r>
            <w:r>
              <w:rPr>
                <w:rFonts w:ascii="標楷體" w:eastAsia="標楷體" w:hAnsi="標楷體" w:cs="標楷體"/>
                <w:b/>
                <w:color w:val="000000"/>
              </w:rPr>
              <w:t xml:space="preserve"> </w:t>
            </w:r>
            <w:r>
              <w:rPr>
                <w:rFonts w:ascii="標楷體" w:eastAsia="標楷體" w:hAnsi="標楷體" w:cs="標楷體"/>
                <w:b/>
                <w:color w:val="000000"/>
              </w:rPr>
              <w:t>位</w:t>
            </w:r>
          </w:p>
        </w:tc>
        <w:tc>
          <w:tcPr>
            <w:tcW w:w="34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273">
            <w:pPr>
              <w:pStyle w:val="Standard"/>
              <w:ind w:hanging="2"/>
              <w:jc w:val="center"/>
              <w:rPr>
                <w:rFonts w:ascii="標楷體" w:eastAsia="標楷體" w:hAnsi="標楷體" w:cs="標楷體"/>
                <w:b/>
                <w:color w:val="000000"/>
              </w:rPr>
            </w:pPr>
            <w:r>
              <w:rPr>
                <w:rFonts w:ascii="標楷體" w:eastAsia="標楷體" w:hAnsi="標楷體" w:cs="標楷體"/>
                <w:b/>
                <w:color w:val="000000"/>
              </w:rPr>
              <w:t>單</w:t>
            </w:r>
            <w:r>
              <w:rPr>
                <w:rFonts w:ascii="標楷體" w:eastAsia="標楷體" w:hAnsi="標楷體" w:cs="標楷體"/>
                <w:b/>
                <w:color w:val="000000"/>
              </w:rPr>
              <w:t xml:space="preserve">  </w:t>
            </w:r>
            <w:r>
              <w:rPr>
                <w:rFonts w:ascii="標楷體" w:eastAsia="標楷體" w:hAnsi="標楷體" w:cs="標楷體"/>
                <w:b/>
                <w:color w:val="000000"/>
              </w:rPr>
              <w:t>位</w:t>
            </w:r>
            <w:r>
              <w:rPr>
                <w:rFonts w:ascii="標楷體" w:eastAsia="標楷體" w:hAnsi="標楷體" w:cs="標楷體"/>
                <w:b/>
                <w:color w:val="000000"/>
              </w:rPr>
              <w:t xml:space="preserve">  </w:t>
            </w:r>
            <w:r>
              <w:rPr>
                <w:rFonts w:ascii="標楷體" w:eastAsia="標楷體" w:hAnsi="標楷體" w:cs="標楷體"/>
                <w:b/>
                <w:color w:val="000000"/>
              </w:rPr>
              <w:t>首</w:t>
            </w:r>
            <w:r>
              <w:rPr>
                <w:rFonts w:ascii="標楷體" w:eastAsia="標楷體" w:hAnsi="標楷體" w:cs="標楷體"/>
                <w:b/>
                <w:color w:val="000000"/>
              </w:rPr>
              <w:t xml:space="preserve">  </w:t>
            </w:r>
            <w:r>
              <w:rPr>
                <w:rFonts w:ascii="標楷體" w:eastAsia="標楷體" w:hAnsi="標楷體" w:cs="標楷體"/>
                <w:b/>
                <w:color w:val="000000"/>
              </w:rPr>
              <w:t>長</w:t>
            </w:r>
            <w:r>
              <w:rPr>
                <w:rFonts w:ascii="標楷體" w:eastAsia="標楷體" w:hAnsi="標楷體" w:cs="標楷體"/>
                <w:b/>
                <w:color w:val="000000"/>
              </w:rPr>
              <w:t xml:space="preserve">  </w:t>
            </w:r>
            <w:r>
              <w:rPr>
                <w:rFonts w:ascii="標楷體" w:eastAsia="標楷體" w:hAnsi="標楷體" w:cs="標楷體"/>
                <w:b/>
                <w:color w:val="000000"/>
              </w:rPr>
              <w:t>評</w:t>
            </w:r>
            <w:r>
              <w:rPr>
                <w:rFonts w:ascii="標楷體" w:eastAsia="標楷體" w:hAnsi="標楷體" w:cs="標楷體"/>
                <w:b/>
                <w:color w:val="000000"/>
              </w:rPr>
              <w:t xml:space="preserve">  </w:t>
            </w:r>
            <w:r>
              <w:rPr>
                <w:rFonts w:ascii="標楷體" w:eastAsia="標楷體" w:hAnsi="標楷體" w:cs="標楷體"/>
                <w:b/>
                <w:color w:val="000000"/>
              </w:rPr>
              <w:t>語</w:t>
            </w:r>
          </w:p>
        </w:tc>
      </w:tr>
      <w:tr w:rsidR="003260C8">
        <w:tblPrEx>
          <w:tblCellMar>
            <w:top w:w="0" w:type="dxa"/>
            <w:bottom w:w="0" w:type="dxa"/>
          </w:tblCellMar>
        </w:tblPrEx>
        <w:trPr>
          <w:trHeight w:val="1018"/>
          <w:jc w:val="center"/>
        </w:trPr>
        <w:tc>
          <w:tcPr>
            <w:tcW w:w="6263"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rPr>
                <w:rFonts w:ascii="標楷體" w:eastAsia="標楷體" w:hAnsi="標楷體" w:cs="標楷體"/>
                <w:color w:val="000000"/>
              </w:rPr>
            </w:pPr>
            <w:r>
              <w:rPr>
                <w:rFonts w:ascii="標楷體" w:eastAsia="標楷體" w:hAnsi="標楷體" w:cs="標楷體"/>
                <w:color w:val="000000"/>
              </w:rPr>
              <w:t>評語：</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考核通過且晉階</w:t>
            </w:r>
            <w:r>
              <w:rPr>
                <w:rFonts w:ascii="標楷體" w:eastAsia="標楷體" w:hAnsi="標楷體" w:cs="標楷體"/>
                <w:color w:val="000000"/>
              </w:rPr>
              <w:t>8</w:t>
            </w:r>
            <w:r>
              <w:rPr>
                <w:rFonts w:ascii="標楷體" w:eastAsia="標楷體" w:hAnsi="標楷體" w:cs="標楷體"/>
                <w:color w:val="000000"/>
              </w:rPr>
              <w:t>薪點並予以續約</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考核不通過，維持原薪點並予以續約</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核章：</w:t>
            </w:r>
          </w:p>
        </w:tc>
        <w:tc>
          <w:tcPr>
            <w:tcW w:w="90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jc w:val="both"/>
              <w:rPr>
                <w:rFonts w:ascii="標楷體" w:eastAsia="標楷體" w:hAnsi="標楷體" w:cs="標楷體"/>
                <w:color w:val="000000"/>
              </w:rPr>
            </w:pPr>
          </w:p>
        </w:tc>
        <w:tc>
          <w:tcPr>
            <w:tcW w:w="34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0C8">
            <w:pPr>
              <w:pStyle w:val="Standard"/>
              <w:snapToGrid w:val="0"/>
              <w:rPr>
                <w:rFonts w:ascii="標楷體" w:eastAsia="標楷體" w:hAnsi="標楷體" w:cs="標楷體"/>
                <w:color w:val="000000"/>
              </w:rPr>
            </w:pPr>
          </w:p>
        </w:tc>
      </w:tr>
    </w:tbl>
    <w:p w:rsidR="003260C8" w:rsidRDefault="00326273">
      <w:pPr>
        <w:pStyle w:val="Standard"/>
        <w:ind w:hanging="2"/>
        <w:rPr>
          <w:rFonts w:ascii="標楷體" w:eastAsia="標楷體" w:hAnsi="標楷體" w:cs="標楷體"/>
          <w:color w:val="000000"/>
        </w:rPr>
      </w:pPr>
      <w:r>
        <w:rPr>
          <w:rFonts w:ascii="標楷體" w:eastAsia="標楷體" w:hAnsi="標楷體" w:cs="標楷體"/>
          <w:color w:val="000000"/>
        </w:rPr>
        <w:t>備註：</w:t>
      </w:r>
    </w:p>
    <w:p w:rsidR="003260C8" w:rsidRDefault="00326273">
      <w:pPr>
        <w:pStyle w:val="Standard"/>
        <w:ind w:left="425"/>
        <w:textAlignment w:val="top"/>
        <w:outlineLvl w:val="0"/>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考核分數八十分以上為</w:t>
      </w:r>
      <w:r>
        <w:rPr>
          <w:rFonts w:ascii="標楷體" w:eastAsia="標楷體" w:hAnsi="標楷體" w:cs="標楷體"/>
          <w:color w:val="000000"/>
        </w:rPr>
        <w:t>A</w:t>
      </w:r>
      <w:r>
        <w:rPr>
          <w:rFonts w:ascii="標楷體" w:eastAsia="標楷體" w:hAnsi="標楷體" w:cs="標楷體"/>
          <w:color w:val="000000"/>
        </w:rPr>
        <w:t>等，七十至七十九分為</w:t>
      </w:r>
      <w:r>
        <w:rPr>
          <w:rFonts w:ascii="標楷體" w:eastAsia="標楷體" w:hAnsi="標楷體" w:cs="標楷體"/>
          <w:color w:val="000000"/>
        </w:rPr>
        <w:t>B</w:t>
      </w:r>
      <w:r>
        <w:rPr>
          <w:rFonts w:ascii="標楷體" w:eastAsia="標楷體" w:hAnsi="標楷體" w:cs="標楷體"/>
          <w:color w:val="000000"/>
        </w:rPr>
        <w:t>等，未達七十分為</w:t>
      </w:r>
      <w:r>
        <w:rPr>
          <w:rFonts w:ascii="標楷體" w:eastAsia="標楷體" w:hAnsi="標楷體" w:cs="標楷體"/>
          <w:color w:val="000000"/>
        </w:rPr>
        <w:t>C</w:t>
      </w:r>
      <w:r>
        <w:rPr>
          <w:rFonts w:ascii="標楷體" w:eastAsia="標楷體" w:hAnsi="標楷體" w:cs="標楷體"/>
          <w:color w:val="000000"/>
        </w:rPr>
        <w:t>等。</w:t>
      </w:r>
    </w:p>
    <w:p w:rsidR="003260C8" w:rsidRDefault="00326273">
      <w:pPr>
        <w:pStyle w:val="Standard"/>
        <w:ind w:left="425"/>
        <w:rPr>
          <w:rFonts w:ascii="標楷體" w:eastAsia="標楷體" w:hAnsi="標楷體" w:cs="標楷體"/>
          <w:color w:val="000000"/>
        </w:rPr>
        <w:sectPr w:rsidR="003260C8">
          <w:footerReference w:type="default" r:id="rId7"/>
          <w:pgSz w:w="11906" w:h="16838"/>
          <w:pgMar w:top="1418" w:right="1418" w:bottom="1418" w:left="1701" w:header="720" w:footer="397" w:gutter="0"/>
          <w:cols w:space="720"/>
        </w:sectPr>
      </w:pPr>
      <w:r>
        <w:rPr>
          <w:rFonts w:ascii="標楷體" w:eastAsia="標楷體" w:hAnsi="標楷體" w:cs="標楷體"/>
          <w:color w:val="000000"/>
        </w:rPr>
        <w:t>2.</w:t>
      </w:r>
      <w:r>
        <w:rPr>
          <w:rFonts w:ascii="標楷體" w:eastAsia="標楷體" w:hAnsi="標楷體" w:cs="標楷體"/>
          <w:color w:val="000000"/>
        </w:rPr>
        <w:t>年度考核</w:t>
      </w:r>
      <w:r>
        <w:rPr>
          <w:rFonts w:ascii="標楷體" w:eastAsia="標楷體" w:hAnsi="標楷體" w:cs="標楷體"/>
          <w:color w:val="000000"/>
        </w:rPr>
        <w:t>A</w:t>
      </w:r>
      <w:r>
        <w:rPr>
          <w:rFonts w:ascii="標楷體" w:eastAsia="標楷體" w:hAnsi="標楷體" w:cs="標楷體"/>
          <w:color w:val="000000"/>
        </w:rPr>
        <w:t>等者，晉</w:t>
      </w:r>
      <w:r>
        <w:rPr>
          <w:rFonts w:ascii="標楷體" w:eastAsia="標楷體" w:hAnsi="標楷體" w:cs="標楷體"/>
          <w:color w:val="000000"/>
        </w:rPr>
        <w:t>1</w:t>
      </w:r>
      <w:r>
        <w:rPr>
          <w:rFonts w:ascii="標楷體" w:eastAsia="標楷體" w:hAnsi="標楷體" w:cs="標楷體"/>
          <w:color w:val="000000"/>
        </w:rPr>
        <w:t>階；</w:t>
      </w:r>
      <w:r>
        <w:rPr>
          <w:rFonts w:ascii="標楷體" w:eastAsia="標楷體" w:hAnsi="標楷體" w:cs="標楷體"/>
          <w:color w:val="000000"/>
        </w:rPr>
        <w:t>B</w:t>
      </w:r>
      <w:r>
        <w:rPr>
          <w:rFonts w:ascii="標楷體" w:eastAsia="標楷體" w:hAnsi="標楷體" w:cs="標楷體"/>
          <w:color w:val="000000"/>
        </w:rPr>
        <w:t>等者，維持原薪點並予以續約；</w:t>
      </w:r>
      <w:r>
        <w:rPr>
          <w:rFonts w:ascii="標楷體" w:eastAsia="標楷體" w:hAnsi="標楷體" w:cs="標楷體"/>
          <w:color w:val="000000"/>
        </w:rPr>
        <w:t>C</w:t>
      </w:r>
      <w:r>
        <w:rPr>
          <w:rFonts w:ascii="標楷體" w:eastAsia="標楷體" w:hAnsi="標楷體" w:cs="標楷體"/>
          <w:color w:val="000000"/>
        </w:rPr>
        <w:t>等者得予解</w:t>
      </w:r>
      <w:r>
        <w:rPr>
          <w:rFonts w:ascii="標楷體" w:eastAsia="標楷體" w:hAnsi="標楷體" w:cs="標楷體"/>
          <w:color w:val="000000"/>
        </w:rPr>
        <w:lastRenderedPageBreak/>
        <w:t>約。</w:t>
      </w:r>
    </w:p>
    <w:p w:rsidR="003260C8" w:rsidRDefault="00326273">
      <w:pPr>
        <w:pStyle w:val="Standard"/>
        <w:spacing w:line="280" w:lineRule="exact"/>
        <w:rPr>
          <w:rFonts w:ascii="標楷體" w:eastAsia="標楷體" w:hAnsi="標楷體" w:cs="標楷體"/>
          <w:color w:val="000000"/>
        </w:rPr>
      </w:pPr>
      <w:r>
        <w:rPr>
          <w:rFonts w:ascii="標楷體" w:eastAsia="標楷體" w:hAnsi="標楷體" w:cs="標楷體"/>
          <w:color w:val="000000"/>
        </w:rPr>
        <w:lastRenderedPageBreak/>
        <w:t>第二點附件十一修正規定</w:t>
      </w:r>
    </w:p>
    <w:p w:rsidR="003260C8" w:rsidRDefault="00326273">
      <w:pPr>
        <w:pStyle w:val="Standard"/>
        <w:snapToGrid w:val="0"/>
        <w:spacing w:after="180" w:line="280" w:lineRule="exact"/>
        <w:jc w:val="both"/>
        <w:rPr>
          <w:rFonts w:ascii="標楷體" w:eastAsia="標楷體" w:hAnsi="標楷體" w:cs="標楷體"/>
          <w:bCs/>
          <w:color w:val="000000"/>
          <w:szCs w:val="28"/>
        </w:rPr>
      </w:pPr>
      <w:r>
        <w:rPr>
          <w:rFonts w:ascii="標楷體" w:eastAsia="標楷體" w:hAnsi="標楷體" w:cs="標楷體"/>
          <w:bCs/>
          <w:color w:val="000000"/>
          <w:szCs w:val="28"/>
        </w:rPr>
        <w:t>附件十一</w:t>
      </w:r>
    </w:p>
    <w:p w:rsidR="003260C8" w:rsidRDefault="00326273">
      <w:pPr>
        <w:pStyle w:val="Standard"/>
        <w:snapToGrid w:val="0"/>
        <w:spacing w:line="280" w:lineRule="exact"/>
        <w:jc w:val="center"/>
        <w:rPr>
          <w:rFonts w:ascii="標楷體" w:eastAsia="標楷體" w:hAnsi="標楷體" w:cs="標楷體"/>
          <w:color w:val="000000"/>
        </w:rPr>
      </w:pPr>
      <w:r>
        <w:rPr>
          <w:rFonts w:ascii="標楷體" w:eastAsia="標楷體" w:hAnsi="標楷體" w:cs="標楷體"/>
          <w:color w:val="000000"/>
        </w:rPr>
        <w:t>（計畫名稱）</w:t>
      </w:r>
    </w:p>
    <w:p w:rsidR="003260C8" w:rsidRDefault="00326273">
      <w:pPr>
        <w:pStyle w:val="Standard"/>
        <w:snapToGrid w:val="0"/>
        <w:spacing w:line="280" w:lineRule="exact"/>
        <w:jc w:val="center"/>
        <w:rPr>
          <w:rFonts w:ascii="標楷體" w:eastAsia="標楷體" w:hAnsi="標楷體" w:cs="標楷體"/>
          <w:color w:val="000000"/>
        </w:rPr>
      </w:pPr>
      <w:r>
        <w:rPr>
          <w:rFonts w:ascii="標楷體" w:eastAsia="標楷體" w:hAnsi="標楷體" w:cs="標楷體"/>
          <w:color w:val="000000"/>
        </w:rPr>
        <w:t>專業服務費用印領清冊</w:t>
      </w:r>
    </w:p>
    <w:tbl>
      <w:tblPr>
        <w:tblW w:w="15052" w:type="dxa"/>
        <w:jc w:val="center"/>
        <w:tblLayout w:type="fixed"/>
        <w:tblCellMar>
          <w:left w:w="10" w:type="dxa"/>
          <w:right w:w="10" w:type="dxa"/>
        </w:tblCellMar>
        <w:tblLook w:val="0000" w:firstRow="0" w:lastRow="0" w:firstColumn="0" w:lastColumn="0" w:noHBand="0" w:noVBand="0"/>
      </w:tblPr>
      <w:tblGrid>
        <w:gridCol w:w="1326"/>
        <w:gridCol w:w="1351"/>
        <w:gridCol w:w="1351"/>
        <w:gridCol w:w="1352"/>
        <w:gridCol w:w="985"/>
        <w:gridCol w:w="986"/>
        <w:gridCol w:w="857"/>
        <w:gridCol w:w="1152"/>
        <w:gridCol w:w="866"/>
        <w:gridCol w:w="1974"/>
        <w:gridCol w:w="724"/>
        <w:gridCol w:w="994"/>
        <w:gridCol w:w="1134"/>
      </w:tblGrid>
      <w:tr w:rsidR="003260C8">
        <w:tblPrEx>
          <w:tblCellMar>
            <w:top w:w="0" w:type="dxa"/>
            <w:bottom w:w="0" w:type="dxa"/>
          </w:tblCellMar>
        </w:tblPrEx>
        <w:trPr>
          <w:trHeight w:val="460"/>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月份</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員工</w:t>
            </w:r>
          </w:p>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姓名</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widowControl/>
              <w:jc w:val="center"/>
              <w:rPr>
                <w:rFonts w:ascii="標楷體" w:eastAsia="標楷體" w:hAnsi="標楷體" w:cs="標楷體"/>
                <w:color w:val="000000"/>
              </w:rPr>
            </w:pPr>
            <w:r>
              <w:rPr>
                <w:rFonts w:ascii="標楷體" w:eastAsia="標楷體" w:hAnsi="標楷體" w:cs="標楷體"/>
                <w:color w:val="000000"/>
              </w:rPr>
              <w:t>身分證</w:t>
            </w:r>
          </w:p>
          <w:p w:rsidR="003260C8" w:rsidRDefault="00326273">
            <w:pPr>
              <w:pStyle w:val="Standard"/>
              <w:widowControl/>
              <w:jc w:val="center"/>
              <w:rPr>
                <w:rFonts w:ascii="標楷體" w:eastAsia="標楷體" w:hAnsi="標楷體" w:cs="標楷體"/>
                <w:color w:val="000000"/>
              </w:rPr>
            </w:pPr>
            <w:r>
              <w:rPr>
                <w:rFonts w:ascii="標楷體" w:eastAsia="標楷體" w:hAnsi="標楷體" w:cs="標楷體"/>
                <w:color w:val="000000"/>
              </w:rPr>
              <w:t>統一編號</w:t>
            </w: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widowControl/>
              <w:jc w:val="center"/>
              <w:rPr>
                <w:rFonts w:ascii="標楷體" w:eastAsia="標楷體" w:hAnsi="標楷體" w:cs="標楷體"/>
                <w:color w:val="000000"/>
              </w:rPr>
            </w:pPr>
            <w:r>
              <w:rPr>
                <w:rFonts w:ascii="標楷體" w:eastAsia="標楷體" w:hAnsi="標楷體" w:cs="標楷體"/>
                <w:color w:val="000000"/>
              </w:rPr>
              <w:t>戶籍地址</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薪資</w:t>
            </w: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病事假扣薪</w:t>
            </w: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應領</w:t>
            </w:r>
          </w:p>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金額</w:t>
            </w: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自籌</w:t>
            </w:r>
          </w:p>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金額</w:t>
            </w: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補助</w:t>
            </w:r>
          </w:p>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金額</w:t>
            </w: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代扣勞工自付勞健保、所得稅等</w:t>
            </w: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實領</w:t>
            </w:r>
          </w:p>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淨額</w:t>
            </w: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簽名或蓋章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備註</w:t>
            </w: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1</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2</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3</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4</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5</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6</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7</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8</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9</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10</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11</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12</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trHeight w:val="70"/>
          <w:jc w:val="center"/>
        </w:trPr>
        <w:tc>
          <w:tcPr>
            <w:tcW w:w="13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年終獎金</w:t>
            </w: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3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trHeight w:val="229"/>
          <w:jc w:val="center"/>
        </w:trPr>
        <w:tc>
          <w:tcPr>
            <w:tcW w:w="5380"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jc w:val="center"/>
              <w:rPr>
                <w:rFonts w:ascii="標楷體" w:eastAsia="標楷體" w:hAnsi="標楷體" w:cs="標楷體"/>
                <w:bCs/>
                <w:color w:val="000000"/>
              </w:rPr>
            </w:pPr>
            <w:r>
              <w:rPr>
                <w:rFonts w:ascii="標楷體" w:eastAsia="標楷體" w:hAnsi="標楷體" w:cs="標楷體"/>
                <w:bCs/>
                <w:color w:val="000000"/>
              </w:rPr>
              <w:t>合</w:t>
            </w:r>
            <w:r>
              <w:rPr>
                <w:rFonts w:ascii="標楷體" w:eastAsia="標楷體" w:hAnsi="標楷體" w:cs="標楷體"/>
                <w:bCs/>
                <w:color w:val="000000"/>
              </w:rPr>
              <w:t xml:space="preserve">    </w:t>
            </w:r>
            <w:r>
              <w:rPr>
                <w:rFonts w:ascii="標楷體" w:eastAsia="標楷體" w:hAnsi="標楷體" w:cs="標楷體"/>
                <w:bCs/>
                <w:color w:val="000000"/>
              </w:rPr>
              <w:t>計</w:t>
            </w:r>
          </w:p>
        </w:tc>
        <w:tc>
          <w:tcPr>
            <w:tcW w:w="9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8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97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7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9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c>
          <w:tcPr>
            <w:tcW w:w="113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3260C8" w:rsidRDefault="003260C8">
            <w:pPr>
              <w:pStyle w:val="Standard"/>
              <w:snapToGrid w:val="0"/>
              <w:rPr>
                <w:rFonts w:ascii="標楷體" w:eastAsia="標楷體" w:hAnsi="標楷體" w:cs="標楷體"/>
                <w:bCs/>
                <w:color w:val="000000"/>
              </w:rPr>
            </w:pPr>
          </w:p>
        </w:tc>
      </w:tr>
      <w:tr w:rsidR="003260C8">
        <w:tblPrEx>
          <w:tblCellMar>
            <w:top w:w="0" w:type="dxa"/>
            <w:bottom w:w="0" w:type="dxa"/>
          </w:tblCellMar>
        </w:tblPrEx>
        <w:trPr>
          <w:cantSplit/>
          <w:trHeight w:val="1100"/>
          <w:jc w:val="center"/>
        </w:trPr>
        <w:tc>
          <w:tcPr>
            <w:tcW w:w="9360" w:type="dxa"/>
            <w:gridSpan w:val="8"/>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273">
            <w:pPr>
              <w:pStyle w:val="Standard"/>
              <w:rPr>
                <w:rFonts w:ascii="標楷體" w:eastAsia="標楷體" w:hAnsi="標楷體" w:cs="標楷體"/>
                <w:color w:val="000000"/>
              </w:rPr>
            </w:pPr>
            <w:r>
              <w:rPr>
                <w:rFonts w:ascii="標楷體" w:eastAsia="標楷體" w:hAnsi="標楷體" w:cs="標楷體"/>
                <w:color w:val="000000"/>
              </w:rPr>
              <w:t>備註：</w:t>
            </w:r>
          </w:p>
          <w:p w:rsidR="003260C8" w:rsidRDefault="00326273">
            <w:pPr>
              <w:pStyle w:val="aff1"/>
              <w:ind w:left="0"/>
              <w:rPr>
                <w:rFonts w:ascii="標楷體" w:eastAsia="標楷體" w:hAnsi="標楷體" w:cs="標楷體"/>
                <w:color w:val="000000"/>
                <w:szCs w:val="24"/>
              </w:rPr>
            </w:pPr>
            <w:r>
              <w:rPr>
                <w:rFonts w:ascii="標楷體" w:eastAsia="標楷體" w:hAnsi="標楷體" w:cs="標楷體"/>
                <w:color w:val="000000"/>
                <w:szCs w:val="24"/>
              </w:rPr>
              <w:t>1.</w:t>
            </w:r>
            <w:r>
              <w:rPr>
                <w:rFonts w:ascii="標楷體" w:eastAsia="標楷體" w:hAnsi="標楷體" w:cs="標楷體"/>
                <w:color w:val="000000"/>
                <w:szCs w:val="24"/>
              </w:rPr>
              <w:t>請檢附學經歷及相關證照影本乙份。</w:t>
            </w:r>
          </w:p>
          <w:p w:rsidR="003260C8" w:rsidRDefault="00326273">
            <w:pPr>
              <w:pStyle w:val="aff1"/>
              <w:ind w:left="0"/>
              <w:rPr>
                <w:rFonts w:ascii="標楷體" w:eastAsia="標楷體" w:hAnsi="標楷體" w:cs="標楷體"/>
                <w:color w:val="000000"/>
                <w:szCs w:val="24"/>
              </w:rPr>
            </w:pPr>
            <w:r>
              <w:rPr>
                <w:rFonts w:ascii="標楷體" w:eastAsia="標楷體" w:hAnsi="標楷體" w:cs="標楷體"/>
                <w:color w:val="000000"/>
                <w:szCs w:val="24"/>
              </w:rPr>
              <w:t>2.</w:t>
            </w:r>
            <w:r>
              <w:rPr>
                <w:rFonts w:ascii="標楷體" w:eastAsia="標楷體" w:hAnsi="標楷體" w:cs="標楷體"/>
                <w:color w:val="000000"/>
                <w:szCs w:val="24"/>
              </w:rPr>
              <w:t>如以劃撥入帳撥付者，得檢附轉帳金融機構等之簽收或證明文件，免請受款人簽章。</w:t>
            </w:r>
          </w:p>
          <w:p w:rsidR="003260C8" w:rsidRDefault="00326273">
            <w:pPr>
              <w:pStyle w:val="aff1"/>
              <w:ind w:left="0"/>
              <w:rPr>
                <w:rFonts w:ascii="標楷體" w:eastAsia="標楷體" w:hAnsi="標楷體" w:cs="標楷體"/>
                <w:color w:val="000000"/>
                <w:szCs w:val="24"/>
              </w:rPr>
            </w:pPr>
            <w:r>
              <w:rPr>
                <w:rFonts w:ascii="標楷體" w:eastAsia="標楷體" w:hAnsi="標楷體" w:cs="標楷體"/>
                <w:color w:val="000000"/>
                <w:szCs w:val="24"/>
              </w:rPr>
              <w:t>3.</w:t>
            </w:r>
            <w:r>
              <w:rPr>
                <w:rFonts w:ascii="標楷體" w:eastAsia="標楷體" w:hAnsi="標楷體" w:cs="標楷體"/>
                <w:color w:val="000000"/>
                <w:szCs w:val="24"/>
              </w:rPr>
              <w:t>年終獎金計算方式，例如：服務起訖日為</w:t>
            </w:r>
            <w:r>
              <w:rPr>
                <w:rFonts w:ascii="標楷體" w:eastAsia="標楷體" w:hAnsi="標楷體" w:cs="標楷體"/>
                <w:color w:val="000000"/>
                <w:szCs w:val="24"/>
              </w:rPr>
              <w:t>109.03.15-109.12.31</w:t>
            </w:r>
            <w:r>
              <w:rPr>
                <w:rFonts w:ascii="標楷體" w:eastAsia="標楷體" w:hAnsi="標楷體" w:cs="標楷體"/>
                <w:color w:val="000000"/>
                <w:szCs w:val="24"/>
              </w:rPr>
              <w:t>，可領取</w:t>
            </w:r>
            <w:r>
              <w:rPr>
                <w:rFonts w:ascii="標楷體" w:eastAsia="標楷體" w:hAnsi="標楷體" w:cs="標楷體"/>
                <w:color w:val="000000"/>
                <w:szCs w:val="24"/>
              </w:rPr>
              <w:t>10/12*1.5</w:t>
            </w:r>
            <w:r>
              <w:rPr>
                <w:rFonts w:ascii="標楷體" w:eastAsia="標楷體" w:hAnsi="標楷體" w:cs="標楷體"/>
                <w:color w:val="000000"/>
                <w:szCs w:val="24"/>
              </w:rPr>
              <w:t>。</w:t>
            </w:r>
          </w:p>
          <w:p w:rsidR="003260C8" w:rsidRDefault="00326273">
            <w:pPr>
              <w:pStyle w:val="Standard"/>
              <w:ind w:left="240" w:hanging="240"/>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年資之採認，以符合年終</w:t>
            </w:r>
            <w:r>
              <w:rPr>
                <w:rFonts w:ascii="標楷體" w:eastAsia="標楷體" w:hAnsi="標楷體" w:cs="標楷體"/>
                <w:color w:val="000000"/>
              </w:rPr>
              <w:t>(</w:t>
            </w:r>
            <w:r>
              <w:rPr>
                <w:rFonts w:ascii="標楷體" w:eastAsia="標楷體" w:hAnsi="標楷體" w:cs="標楷體"/>
                <w:color w:val="000000"/>
              </w:rPr>
              <w:t>度</w:t>
            </w:r>
            <w:r>
              <w:rPr>
                <w:rFonts w:ascii="標楷體" w:eastAsia="標楷體" w:hAnsi="標楷體" w:cs="標楷體"/>
                <w:color w:val="000000"/>
              </w:rPr>
              <w:t>)</w:t>
            </w:r>
            <w:r>
              <w:rPr>
                <w:rFonts w:ascii="標楷體" w:eastAsia="標楷體" w:hAnsi="標楷體" w:cs="標楷體"/>
                <w:color w:val="000000"/>
              </w:rPr>
              <w:t>考核，且通過考核為原則，並以會計年度為採計基準，畸零月數不予併計。</w:t>
            </w:r>
          </w:p>
        </w:tc>
        <w:tc>
          <w:tcPr>
            <w:tcW w:w="5692" w:type="dxa"/>
            <w:gridSpan w:val="5"/>
            <w:tcBorders>
              <w:top w:val="single" w:sz="18" w:space="0" w:color="000000"/>
              <w:left w:val="single" w:sz="18" w:space="0" w:color="000000"/>
              <w:bottom w:val="dotted" w:sz="4" w:space="0" w:color="000000"/>
              <w:right w:val="single" w:sz="18" w:space="0" w:color="000000"/>
            </w:tcBorders>
            <w:shd w:val="clear" w:color="auto" w:fill="auto"/>
            <w:tcMar>
              <w:top w:w="0" w:type="dxa"/>
              <w:left w:w="108" w:type="dxa"/>
              <w:bottom w:w="0" w:type="dxa"/>
              <w:right w:w="10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受補助單位自評考核結果：</w:t>
            </w:r>
          </w:p>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次年度予以晉階</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次年度不予晉階，說明：</w:t>
            </w:r>
            <w:r>
              <w:rPr>
                <w:rFonts w:ascii="標楷體" w:eastAsia="標楷體" w:hAnsi="標楷體" w:cs="標楷體"/>
                <w:color w:val="000000"/>
              </w:rPr>
              <w:t>_____________________</w:t>
            </w:r>
          </w:p>
        </w:tc>
      </w:tr>
      <w:tr w:rsidR="003260C8">
        <w:tblPrEx>
          <w:tblCellMar>
            <w:top w:w="0" w:type="dxa"/>
            <w:bottom w:w="0" w:type="dxa"/>
          </w:tblCellMar>
        </w:tblPrEx>
        <w:trPr>
          <w:cantSplit/>
          <w:trHeight w:val="730"/>
          <w:jc w:val="center"/>
        </w:trPr>
        <w:tc>
          <w:tcPr>
            <w:tcW w:w="9360" w:type="dxa"/>
            <w:gridSpan w:val="8"/>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260C8" w:rsidRDefault="003260C8">
            <w:pPr>
              <w:rPr>
                <w:rFonts w:hint="eastAsia"/>
              </w:rPr>
            </w:pPr>
          </w:p>
        </w:tc>
        <w:tc>
          <w:tcPr>
            <w:tcW w:w="5692" w:type="dxa"/>
            <w:gridSpan w:val="5"/>
            <w:tcBorders>
              <w:top w:val="dotted"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3260C8" w:rsidRDefault="00326273">
            <w:pPr>
              <w:pStyle w:val="Standard"/>
              <w:rPr>
                <w:rFonts w:ascii="標楷體" w:eastAsia="標楷體" w:hAnsi="標楷體" w:cs="標楷體"/>
                <w:bCs/>
                <w:color w:val="000000"/>
              </w:rPr>
            </w:pPr>
            <w:r>
              <w:rPr>
                <w:rFonts w:ascii="標楷體" w:eastAsia="標楷體" w:hAnsi="標楷體" w:cs="標楷體"/>
                <w:bCs/>
                <w:color w:val="000000"/>
              </w:rPr>
              <w:t>承辦人</w:t>
            </w:r>
            <w:r>
              <w:rPr>
                <w:rFonts w:ascii="標楷體" w:eastAsia="標楷體" w:hAnsi="標楷體" w:cs="標楷體"/>
                <w:bCs/>
                <w:color w:val="000000"/>
              </w:rPr>
              <w:t xml:space="preserve">                </w:t>
            </w:r>
            <w:r>
              <w:rPr>
                <w:rFonts w:ascii="標楷體" w:eastAsia="標楷體" w:hAnsi="標楷體" w:cs="標楷體"/>
                <w:bCs/>
                <w:color w:val="000000"/>
              </w:rPr>
              <w:t>單位主管</w:t>
            </w:r>
          </w:p>
        </w:tc>
      </w:tr>
    </w:tbl>
    <w:p w:rsidR="00000000" w:rsidRDefault="00326273">
      <w:pPr>
        <w:rPr>
          <w:rFonts w:hint="eastAsia"/>
          <w:szCs w:val="21"/>
        </w:rPr>
        <w:sectPr w:rsidR="00000000">
          <w:footerReference w:type="default" r:id="rId8"/>
          <w:pgSz w:w="16838" w:h="11906" w:orient="landscape"/>
          <w:pgMar w:top="1021" w:right="1418" w:bottom="1048" w:left="1418" w:header="720" w:footer="992" w:gutter="0"/>
          <w:cols w:space="720"/>
        </w:sectPr>
      </w:pPr>
    </w:p>
    <w:p w:rsidR="003260C8" w:rsidRDefault="00326273">
      <w:pPr>
        <w:pStyle w:val="Standard"/>
        <w:snapToGrid w:val="0"/>
        <w:spacing w:line="460" w:lineRule="exact"/>
        <w:jc w:val="both"/>
        <w:rPr>
          <w:rFonts w:ascii="標楷體" w:eastAsia="標楷體" w:hAnsi="標楷體" w:cs="標楷體"/>
          <w:color w:val="000000"/>
        </w:rPr>
      </w:pPr>
      <w:r>
        <w:rPr>
          <w:rFonts w:ascii="標楷體" w:eastAsia="標楷體" w:hAnsi="標楷體" w:cs="標楷體"/>
          <w:color w:val="000000"/>
        </w:rPr>
        <w:lastRenderedPageBreak/>
        <w:t>第十八點附件九修正規定</w:t>
      </w:r>
    </w:p>
    <w:p w:rsidR="003260C8" w:rsidRDefault="00326273">
      <w:pPr>
        <w:pStyle w:val="Standard"/>
        <w:rPr>
          <w:rFonts w:ascii="標楷體" w:eastAsia="標楷體" w:hAnsi="標楷體" w:cs="標楷體"/>
          <w:color w:val="000000"/>
        </w:rPr>
      </w:pPr>
      <w:r>
        <w:rPr>
          <w:rFonts w:ascii="標楷體" w:eastAsia="標楷體" w:hAnsi="標楷體" w:cs="標楷體"/>
          <w:color w:val="000000"/>
        </w:rPr>
        <w:t>附件九</w:t>
      </w:r>
    </w:p>
    <w:p w:rsidR="003260C8" w:rsidRDefault="00326273">
      <w:pPr>
        <w:pStyle w:val="Standard"/>
        <w:snapToGrid w:val="0"/>
        <w:jc w:val="center"/>
        <w:rPr>
          <w:rFonts w:ascii="標楷體" w:eastAsia="標楷體" w:hAnsi="標楷體" w:cs="標楷體"/>
          <w:color w:val="000000"/>
          <w:sz w:val="28"/>
          <w:szCs w:val="28"/>
        </w:rPr>
      </w:pPr>
      <w:r>
        <w:rPr>
          <w:rFonts w:ascii="標楷體" w:eastAsia="標楷體" w:hAnsi="標楷體" w:cs="標楷體"/>
          <w:color w:val="000000"/>
          <w:sz w:val="28"/>
          <w:szCs w:val="28"/>
        </w:rPr>
        <w:t>新住民發展基金補助委託研究計畫經費編列基準表</w:t>
      </w:r>
    </w:p>
    <w:tbl>
      <w:tblPr>
        <w:tblW w:w="9792" w:type="dxa"/>
        <w:tblInd w:w="-431" w:type="dxa"/>
        <w:tblLayout w:type="fixed"/>
        <w:tblCellMar>
          <w:left w:w="10" w:type="dxa"/>
          <w:right w:w="10" w:type="dxa"/>
        </w:tblCellMar>
        <w:tblLook w:val="0000" w:firstRow="0" w:lastRow="0" w:firstColumn="0" w:lastColumn="0" w:noHBand="0" w:noVBand="0"/>
      </w:tblPr>
      <w:tblGrid>
        <w:gridCol w:w="993"/>
        <w:gridCol w:w="4902"/>
        <w:gridCol w:w="3897"/>
      </w:tblGrid>
      <w:tr w:rsidR="003260C8">
        <w:tblPrEx>
          <w:tblCellMar>
            <w:top w:w="0" w:type="dxa"/>
            <w:bottom w:w="0" w:type="dxa"/>
          </w:tblCellMar>
        </w:tblPrEx>
        <w:tc>
          <w:tcPr>
            <w:tcW w:w="99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項</w:t>
            </w:r>
            <w:r>
              <w:rPr>
                <w:rFonts w:ascii="標楷體" w:eastAsia="標楷體" w:hAnsi="標楷體" w:cs="標楷體"/>
                <w:color w:val="000000"/>
              </w:rPr>
              <w:t xml:space="preserve">  </w:t>
            </w:r>
            <w:r>
              <w:rPr>
                <w:rFonts w:ascii="標楷體" w:eastAsia="標楷體" w:hAnsi="標楷體" w:cs="標楷體"/>
                <w:color w:val="000000"/>
              </w:rPr>
              <w:t>目</w:t>
            </w: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經</w:t>
            </w:r>
            <w:r>
              <w:rPr>
                <w:rFonts w:ascii="標楷體" w:eastAsia="標楷體" w:hAnsi="標楷體" w:cs="標楷體"/>
                <w:color w:val="000000"/>
              </w:rPr>
              <w:t xml:space="preserve">  </w:t>
            </w:r>
            <w:r>
              <w:rPr>
                <w:rFonts w:ascii="標楷體" w:eastAsia="標楷體" w:hAnsi="標楷體" w:cs="標楷體"/>
                <w:color w:val="000000"/>
              </w:rPr>
              <w:t>費</w:t>
            </w:r>
            <w:r>
              <w:rPr>
                <w:rFonts w:ascii="標楷體" w:eastAsia="標楷體" w:hAnsi="標楷體" w:cs="標楷體"/>
                <w:color w:val="000000"/>
              </w:rPr>
              <w:t xml:space="preserve">  </w:t>
            </w:r>
            <w:r>
              <w:rPr>
                <w:rFonts w:ascii="標楷體" w:eastAsia="標楷體" w:hAnsi="標楷體" w:cs="標楷體"/>
                <w:color w:val="000000"/>
              </w:rPr>
              <w:t>基</w:t>
            </w:r>
            <w:r>
              <w:rPr>
                <w:rFonts w:ascii="標楷體" w:eastAsia="標楷體" w:hAnsi="標楷體" w:cs="標楷體"/>
                <w:color w:val="000000"/>
              </w:rPr>
              <w:t xml:space="preserve">  </w:t>
            </w:r>
            <w:r>
              <w:rPr>
                <w:rFonts w:ascii="標楷體" w:eastAsia="標楷體" w:hAnsi="標楷體" w:cs="標楷體"/>
                <w:color w:val="000000"/>
              </w:rPr>
              <w:t>準</w:t>
            </w:r>
            <w:r>
              <w:rPr>
                <w:rFonts w:ascii="標楷體" w:eastAsia="標楷體" w:hAnsi="標楷體" w:cs="標楷體"/>
                <w:color w:val="000000"/>
              </w:rPr>
              <w:t>(</w:t>
            </w:r>
            <w:r>
              <w:rPr>
                <w:rFonts w:ascii="標楷體" w:eastAsia="標楷體" w:hAnsi="標楷體" w:cs="標楷體"/>
                <w:color w:val="000000"/>
              </w:rPr>
              <w:t>單位：新臺幣</w:t>
            </w:r>
            <w:r>
              <w:rPr>
                <w:rFonts w:ascii="標楷體" w:eastAsia="標楷體" w:hAnsi="標楷體" w:cs="標楷體"/>
                <w:color w:val="000000"/>
              </w:rPr>
              <w:t>/</w:t>
            </w:r>
            <w:r>
              <w:rPr>
                <w:rFonts w:ascii="標楷體" w:eastAsia="標楷體" w:hAnsi="標楷體" w:cs="標楷體"/>
                <w:color w:val="000000"/>
              </w:rPr>
              <w:t>元</w:t>
            </w:r>
            <w:r>
              <w:rPr>
                <w:rFonts w:ascii="標楷體" w:eastAsia="標楷體" w:hAnsi="標楷體" w:cs="標楷體"/>
                <w:color w:val="000000"/>
              </w:rPr>
              <w:t>)</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260C8" w:rsidRDefault="00326273">
            <w:pPr>
              <w:pStyle w:val="Standard"/>
              <w:jc w:val="center"/>
              <w:rPr>
                <w:rFonts w:ascii="標楷體" w:eastAsia="標楷體" w:hAnsi="標楷體" w:cs="標楷體"/>
                <w:color w:val="000000"/>
              </w:rPr>
            </w:pPr>
            <w:r>
              <w:rPr>
                <w:rFonts w:ascii="標楷體" w:eastAsia="標楷體" w:hAnsi="標楷體" w:cs="標楷體"/>
                <w:color w:val="000000"/>
              </w:rPr>
              <w:t>說</w:t>
            </w:r>
            <w:r>
              <w:rPr>
                <w:rFonts w:ascii="標楷體" w:eastAsia="標楷體" w:hAnsi="標楷體" w:cs="標楷體"/>
                <w:color w:val="000000"/>
              </w:rPr>
              <w:t xml:space="preserve">  </w:t>
            </w:r>
            <w:r>
              <w:rPr>
                <w:rFonts w:ascii="標楷體" w:eastAsia="標楷體" w:hAnsi="標楷體" w:cs="標楷體"/>
                <w:color w:val="000000"/>
              </w:rPr>
              <w:t>明</w:t>
            </w:r>
          </w:p>
        </w:tc>
      </w:tr>
      <w:tr w:rsidR="003260C8">
        <w:tblPrEx>
          <w:tblCellMar>
            <w:top w:w="0" w:type="dxa"/>
            <w:bottom w:w="0" w:type="dxa"/>
          </w:tblCellMar>
        </w:tblPrEx>
        <w:tc>
          <w:tcPr>
            <w:tcW w:w="99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人事費</w:t>
            </w: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511" w:right="56" w:hanging="540"/>
              <w:jc w:val="both"/>
              <w:rPr>
                <w:rFonts w:ascii="標楷體" w:eastAsia="標楷體" w:hAnsi="標楷體" w:cs="標楷體"/>
                <w:color w:val="000000"/>
              </w:rPr>
            </w:pPr>
            <w:r>
              <w:rPr>
                <w:rFonts w:ascii="標楷體" w:eastAsia="標楷體" w:hAnsi="標楷體" w:cs="標楷體"/>
                <w:color w:val="000000"/>
              </w:rPr>
              <w:t>每人每月最高額度如下：</w:t>
            </w:r>
          </w:p>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計畫主持人：二萬元。</w:t>
            </w:r>
          </w:p>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協同主持人：一萬八千元。</w:t>
            </w:r>
          </w:p>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研究員：一萬五千元。</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4.</w:t>
            </w:r>
            <w:r>
              <w:rPr>
                <w:rFonts w:ascii="標楷體" w:eastAsia="標楷體" w:hAnsi="標楷體" w:cs="標楷體"/>
                <w:color w:val="000000"/>
              </w:rPr>
              <w:t>專任研究助理：依據科技部補助專題研究計畫助理人員約用注意事項辦理</w:t>
            </w:r>
            <w:r>
              <w:rPr>
                <w:rFonts w:ascii="標楷體" w:eastAsia="標楷體" w:hAnsi="標楷體" w:cs="標楷體"/>
                <w:color w:val="000000"/>
              </w:rPr>
              <w:t>(</w:t>
            </w:r>
            <w:r>
              <w:rPr>
                <w:rFonts w:ascii="標楷體" w:eastAsia="標楷體" w:hAnsi="標楷體" w:cs="標楷體"/>
                <w:color w:val="000000"/>
              </w:rPr>
              <w:t>本項不受第二點第三十二款限制</w:t>
            </w:r>
            <w:r>
              <w:rPr>
                <w:rFonts w:ascii="標楷體" w:eastAsia="標楷體" w:hAnsi="標楷體" w:cs="標楷體"/>
                <w:color w:val="000000"/>
              </w:rPr>
              <w:t>)</w:t>
            </w:r>
            <w:r>
              <w:rPr>
                <w:rFonts w:ascii="標楷體" w:eastAsia="標楷體" w:hAnsi="標楷體" w:cs="標楷體"/>
                <w:color w:val="000000"/>
              </w:rPr>
              <w:t>。</w:t>
            </w:r>
          </w:p>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兼任研究助理：一萬元。</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保險：申請單位應依據勞動基準法及全民健康保險法等相關規定編列應負擔之勞保費、健保費及公提離職儲金</w:t>
            </w:r>
            <w:r>
              <w:rPr>
                <w:rFonts w:ascii="標楷體" w:eastAsia="標楷體" w:hAnsi="標楷體" w:cs="標楷體"/>
                <w:color w:val="000000"/>
              </w:rPr>
              <w:t>(</w:t>
            </w:r>
            <w:r>
              <w:rPr>
                <w:rFonts w:ascii="標楷體" w:eastAsia="標楷體" w:hAnsi="標楷體" w:cs="標楷體"/>
                <w:color w:val="000000"/>
              </w:rPr>
              <w:t>公提退休金</w:t>
            </w:r>
            <w:r>
              <w:rPr>
                <w:rFonts w:ascii="標楷體" w:eastAsia="標楷體" w:hAnsi="標楷體" w:cs="標楷體"/>
                <w:color w:val="000000"/>
              </w:rPr>
              <w:t>)</w:t>
            </w:r>
            <w:r>
              <w:rPr>
                <w:rFonts w:ascii="標楷體" w:eastAsia="標楷體" w:hAnsi="標楷體" w:cs="標楷體"/>
                <w:color w:val="000000"/>
              </w:rPr>
              <w:t>費用。有關勞保及健保等費用編列基準請自行上網參照中央主管機關相關規定辦理。</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研究人員資格限制：</w:t>
            </w:r>
          </w:p>
          <w:p w:rsidR="003260C8" w:rsidRDefault="00326273">
            <w:pPr>
              <w:pStyle w:val="Standard"/>
              <w:ind w:left="576" w:hanging="57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1</w:t>
            </w:r>
            <w:r>
              <w:rPr>
                <w:rFonts w:ascii="標楷體" w:eastAsia="標楷體" w:hAnsi="標楷體" w:cs="標楷體"/>
                <w:color w:val="000000"/>
              </w:rPr>
              <w:t>）主持人：計畫主持人及協同主持人，須具博士或副教授以上資格或具相當經驗之專家。</w:t>
            </w:r>
          </w:p>
          <w:p w:rsidR="003260C8" w:rsidRDefault="00326273">
            <w:pPr>
              <w:pStyle w:val="Standard"/>
              <w:ind w:left="576" w:hanging="57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2</w:t>
            </w:r>
            <w:r>
              <w:rPr>
                <w:rFonts w:ascii="標楷體" w:eastAsia="標楷體" w:hAnsi="標楷體" w:cs="標楷體"/>
                <w:color w:val="000000"/>
              </w:rPr>
              <w:t>）研究員：每一研究計畫，須具碩士以上資格。</w:t>
            </w:r>
          </w:p>
          <w:p w:rsidR="003260C8" w:rsidRDefault="00326273">
            <w:pPr>
              <w:pStyle w:val="Standard"/>
              <w:ind w:left="576" w:hanging="57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3</w:t>
            </w:r>
            <w:r>
              <w:rPr>
                <w:rFonts w:ascii="標楷體" w:eastAsia="標楷體" w:hAnsi="標楷體" w:cs="標楷體"/>
                <w:color w:val="000000"/>
              </w:rPr>
              <w:t>）研究助理：專任研究助理、兼任研究助理，須具學士以上資格。</w:t>
            </w:r>
          </w:p>
          <w:p w:rsidR="003260C8" w:rsidRDefault="00326273">
            <w:pPr>
              <w:pStyle w:val="Standard"/>
              <w:ind w:left="240" w:hanging="240"/>
              <w:jc w:val="both"/>
            </w:pPr>
            <w:r>
              <w:rPr>
                <w:rFonts w:ascii="標楷體" w:eastAsia="標楷體" w:hAnsi="標楷體" w:cs="標楷體"/>
                <w:color w:val="000000"/>
              </w:rPr>
              <w:t>2.</w:t>
            </w:r>
            <w:r>
              <w:rPr>
                <w:rFonts w:ascii="標楷體" w:eastAsia="標楷體" w:hAnsi="標楷體" w:cs="標楷體"/>
                <w:bCs/>
                <w:color w:val="000000"/>
              </w:rPr>
              <w:t>前列各項研究人員經費標準，如應政策或業務參考需要，研究計畫須縮短研究時程者，得經簽報部長核准酌予提高。</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各申請單位應視各該研究計畫之目的、性質及預算規模，妥為規劃計畫需求。服務建議書（或企劃書）應提出包含人力規劃、研究人員本職身分與對該計畫投入及預期成果等資訊。</w:t>
            </w:r>
          </w:p>
        </w:tc>
      </w:tr>
      <w:tr w:rsidR="003260C8">
        <w:tblPrEx>
          <w:tblCellMar>
            <w:top w:w="0" w:type="dxa"/>
            <w:bottom w:w="0" w:type="dxa"/>
          </w:tblCellMar>
        </w:tblPrEx>
        <w:trPr>
          <w:cantSplit/>
          <w:trHeight w:val="280"/>
        </w:trPr>
        <w:tc>
          <w:tcPr>
            <w:tcW w:w="993"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業務費</w:t>
            </w: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出席費：每人最高二千五百元。</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依中央政府各機關學校出席費及稿費支給要點規定辦理。</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實施本計畫所需專家諮詢費、深度訪談費及焦點座談費等費用。</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調查訪問費：每份五十元至三百元（訪視費及禮品費合計），依問卷內容繁簡程度，酌予增減。</w:t>
            </w:r>
          </w:p>
          <w:p w:rsidR="003260C8" w:rsidRDefault="003260C8">
            <w:pPr>
              <w:pStyle w:val="Standard"/>
              <w:ind w:left="511" w:right="56" w:hanging="511"/>
              <w:jc w:val="both"/>
              <w:rPr>
                <w:rFonts w:ascii="標楷體" w:eastAsia="標楷體" w:hAnsi="標楷體" w:cs="標楷體"/>
                <w:color w:val="00000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研究人員不得支領本項費用。</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實施本計畫所需問卷調查之填表或訪視費。</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問卷調查或訪視時所需之禮品或宣導品費用。</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報告印刷費：</w:t>
            </w:r>
          </w:p>
          <w:p w:rsidR="003260C8" w:rsidRDefault="00326273">
            <w:pPr>
              <w:pStyle w:val="Standard"/>
              <w:widowControl/>
              <w:ind w:left="240"/>
              <w:jc w:val="both"/>
              <w:rPr>
                <w:rFonts w:ascii="標楷體" w:eastAsia="標楷體" w:hAnsi="標楷體" w:cs="標楷體"/>
                <w:color w:val="000000"/>
              </w:rPr>
            </w:pPr>
            <w:r>
              <w:rPr>
                <w:rFonts w:ascii="標楷體" w:eastAsia="標楷體" w:hAnsi="標楷體" w:cs="標楷體"/>
                <w:color w:val="000000"/>
              </w:rPr>
              <w:t>五百零一頁以上</w:t>
            </w:r>
            <w:r>
              <w:rPr>
                <w:rFonts w:ascii="標楷體" w:eastAsia="標楷體" w:hAnsi="標楷體" w:cs="標楷體"/>
                <w:color w:val="000000"/>
              </w:rPr>
              <w:t xml:space="preserve">          </w:t>
            </w:r>
            <w:r>
              <w:rPr>
                <w:rFonts w:ascii="標楷體" w:eastAsia="標楷體" w:hAnsi="標楷體" w:cs="標楷體"/>
                <w:color w:val="000000"/>
              </w:rPr>
              <w:t>十七萬元以內</w:t>
            </w:r>
          </w:p>
          <w:p w:rsidR="003260C8" w:rsidRDefault="00326273">
            <w:pPr>
              <w:pStyle w:val="Standard"/>
              <w:widowControl/>
              <w:ind w:left="240"/>
              <w:jc w:val="both"/>
              <w:rPr>
                <w:rFonts w:ascii="標楷體" w:eastAsia="標楷體" w:hAnsi="標楷體" w:cs="標楷體"/>
                <w:color w:val="000000"/>
              </w:rPr>
            </w:pPr>
            <w:r>
              <w:rPr>
                <w:rFonts w:ascii="標楷體" w:eastAsia="標楷體" w:hAnsi="標楷體" w:cs="標楷體"/>
                <w:color w:val="000000"/>
              </w:rPr>
              <w:t>四百零一至五百頁</w:t>
            </w:r>
            <w:r>
              <w:rPr>
                <w:rFonts w:ascii="標楷體" w:eastAsia="標楷體" w:hAnsi="標楷體" w:cs="標楷體"/>
                <w:color w:val="000000"/>
              </w:rPr>
              <w:t xml:space="preserve">        </w:t>
            </w:r>
            <w:r>
              <w:rPr>
                <w:rFonts w:ascii="標楷體" w:eastAsia="標楷體" w:hAnsi="標楷體" w:cs="標楷體"/>
                <w:color w:val="000000"/>
              </w:rPr>
              <w:t>十四萬元以內</w:t>
            </w:r>
          </w:p>
          <w:p w:rsidR="003260C8" w:rsidRDefault="00326273">
            <w:pPr>
              <w:pStyle w:val="Standard"/>
              <w:widowControl/>
              <w:ind w:left="240"/>
              <w:jc w:val="both"/>
              <w:rPr>
                <w:rFonts w:ascii="標楷體" w:eastAsia="標楷體" w:hAnsi="標楷體" w:cs="標楷體"/>
                <w:color w:val="000000"/>
              </w:rPr>
            </w:pPr>
            <w:r>
              <w:rPr>
                <w:rFonts w:ascii="標楷體" w:eastAsia="標楷體" w:hAnsi="標楷體" w:cs="標楷體"/>
                <w:color w:val="000000"/>
              </w:rPr>
              <w:t>三百零一至四百頁</w:t>
            </w:r>
            <w:r>
              <w:rPr>
                <w:rFonts w:ascii="標楷體" w:eastAsia="標楷體" w:hAnsi="標楷體" w:cs="標楷體"/>
                <w:color w:val="000000"/>
              </w:rPr>
              <w:t xml:space="preserve">        </w:t>
            </w:r>
            <w:r>
              <w:rPr>
                <w:rFonts w:ascii="標楷體" w:eastAsia="標楷體" w:hAnsi="標楷體" w:cs="標楷體"/>
                <w:color w:val="000000"/>
              </w:rPr>
              <w:t>十二萬元以內</w:t>
            </w:r>
          </w:p>
          <w:p w:rsidR="003260C8" w:rsidRDefault="00326273">
            <w:pPr>
              <w:pStyle w:val="Standard"/>
              <w:widowControl/>
              <w:ind w:left="240"/>
              <w:jc w:val="both"/>
              <w:rPr>
                <w:rFonts w:ascii="標楷體" w:eastAsia="標楷體" w:hAnsi="標楷體" w:cs="標楷體"/>
                <w:color w:val="000000"/>
              </w:rPr>
            </w:pPr>
            <w:r>
              <w:rPr>
                <w:rFonts w:ascii="標楷體" w:eastAsia="標楷體" w:hAnsi="標楷體" w:cs="標楷體"/>
                <w:color w:val="000000"/>
              </w:rPr>
              <w:t>二百零一至三百頁</w:t>
            </w:r>
            <w:r>
              <w:rPr>
                <w:rFonts w:ascii="標楷體" w:eastAsia="標楷體" w:hAnsi="標楷體" w:cs="標楷體"/>
                <w:color w:val="000000"/>
              </w:rPr>
              <w:t xml:space="preserve">        </w:t>
            </w:r>
            <w:r>
              <w:rPr>
                <w:rFonts w:ascii="標楷體" w:eastAsia="標楷體" w:hAnsi="標楷體" w:cs="標楷體"/>
                <w:color w:val="000000"/>
              </w:rPr>
              <w:t>十萬元以內</w:t>
            </w:r>
          </w:p>
          <w:p w:rsidR="003260C8" w:rsidRDefault="00326273">
            <w:pPr>
              <w:pStyle w:val="Standard"/>
              <w:ind w:left="240"/>
              <w:jc w:val="both"/>
              <w:rPr>
                <w:rFonts w:ascii="標楷體" w:eastAsia="標楷體" w:hAnsi="標楷體" w:cs="標楷體"/>
                <w:color w:val="000000"/>
              </w:rPr>
            </w:pPr>
            <w:r>
              <w:rPr>
                <w:rFonts w:ascii="標楷體" w:eastAsia="標楷體" w:hAnsi="標楷體" w:cs="標楷體"/>
                <w:color w:val="000000"/>
              </w:rPr>
              <w:t>二百頁以下</w:t>
            </w:r>
            <w:r>
              <w:rPr>
                <w:rFonts w:ascii="標楷體" w:eastAsia="標楷體" w:hAnsi="標楷體" w:cs="標楷體"/>
                <w:color w:val="000000"/>
              </w:rPr>
              <w:t xml:space="preserve">              </w:t>
            </w:r>
            <w:r>
              <w:rPr>
                <w:rFonts w:ascii="標楷體" w:eastAsia="標楷體" w:hAnsi="標楷體" w:cs="標楷體"/>
                <w:color w:val="000000"/>
              </w:rPr>
              <w:t>八萬元以內</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360" w:hanging="36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依著作頁數計算。</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包括報告之打字、印刷費用。</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334" w:hanging="360"/>
              <w:jc w:val="both"/>
              <w:rPr>
                <w:rFonts w:ascii="標楷體" w:eastAsia="標楷體" w:hAnsi="標楷體" w:cs="標楷體"/>
                <w:color w:val="000000"/>
                <w:spacing w:val="-20"/>
              </w:rPr>
            </w:pPr>
            <w:r>
              <w:rPr>
                <w:rFonts w:ascii="標楷體" w:eastAsia="標楷體" w:hAnsi="標楷體" w:cs="標楷體"/>
                <w:color w:val="000000"/>
                <w:spacing w:val="-20"/>
              </w:rPr>
              <w:t>4.</w:t>
            </w:r>
            <w:r>
              <w:rPr>
                <w:rFonts w:ascii="標楷體" w:eastAsia="標楷體" w:hAnsi="標楷體" w:cs="標楷體"/>
                <w:color w:val="000000"/>
                <w:spacing w:val="-20"/>
              </w:rPr>
              <w:t>資料蒐集費：十萬元以內</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實施本計畫所需蒐集相關資料，如購置參考書、期刊或影印必要資料費用，以及資料索費</w:t>
            </w:r>
            <w:r>
              <w:rPr>
                <w:rFonts w:ascii="標楷體" w:eastAsia="標楷體" w:hAnsi="標楷體" w:cs="標楷體"/>
                <w:color w:val="000000"/>
              </w:rPr>
              <w:t>(</w:t>
            </w:r>
            <w:r>
              <w:rPr>
                <w:rFonts w:ascii="標楷體" w:eastAsia="標楷體" w:hAnsi="標楷體" w:cs="標楷體"/>
                <w:color w:val="000000"/>
              </w:rPr>
              <w:t>如圖書館申請費、付費文章等</w:t>
            </w:r>
            <w:r>
              <w:rPr>
                <w:rFonts w:ascii="標楷體" w:eastAsia="標楷體" w:hAnsi="標楷體" w:cs="標楷體"/>
                <w:color w:val="000000"/>
              </w:rPr>
              <w:t>)</w:t>
            </w:r>
            <w:r>
              <w:rPr>
                <w:rFonts w:ascii="標楷體" w:eastAsia="標楷體" w:hAnsi="標楷體" w:cs="標楷體"/>
                <w:color w:val="000000"/>
              </w:rPr>
              <w:t>為限。</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5.</w:t>
            </w:r>
            <w:r>
              <w:rPr>
                <w:rFonts w:ascii="標楷體" w:eastAsia="標楷體" w:hAnsi="標楷體" w:cs="標楷體"/>
                <w:color w:val="000000"/>
              </w:rPr>
              <w:t>差旅費：依行政院頒「國內出差旅費報支要點」、「國外出差旅費報支要點」規定編列。</w:t>
            </w:r>
          </w:p>
          <w:p w:rsidR="003260C8" w:rsidRDefault="003260C8">
            <w:pPr>
              <w:pStyle w:val="Standard"/>
              <w:ind w:left="240" w:hanging="240"/>
              <w:jc w:val="both"/>
              <w:rPr>
                <w:rFonts w:ascii="標楷體" w:eastAsia="標楷體" w:hAnsi="標楷體" w:cs="標楷體"/>
                <w:color w:val="00000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計畫書須預先研設部分出差目的地。</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國外資料常可透過網際網路蒐集，出國計畫應審慎評估。</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6.</w:t>
            </w:r>
            <w:r>
              <w:rPr>
                <w:rFonts w:ascii="標楷體" w:eastAsia="標楷體" w:hAnsi="標楷體" w:cs="標楷體"/>
                <w:color w:val="000000"/>
              </w:rPr>
              <w:t>稿費及審查費：依研究計畫設計需求編列。</w:t>
            </w:r>
          </w:p>
          <w:p w:rsidR="003260C8" w:rsidRDefault="003260C8">
            <w:pPr>
              <w:pStyle w:val="Standard"/>
              <w:jc w:val="both"/>
              <w:rPr>
                <w:rFonts w:ascii="標楷體" w:eastAsia="標楷體" w:hAnsi="標楷體" w:cs="標楷體"/>
                <w:color w:val="000000"/>
              </w:rPr>
            </w:pP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88" w:hanging="288"/>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依各機關單位預算執行要點及中央政府各機關學校出席費及稿費支給要點規定編列。</w:t>
            </w:r>
          </w:p>
          <w:p w:rsidR="003260C8" w:rsidRDefault="00326273">
            <w:pPr>
              <w:pStyle w:val="Standard"/>
              <w:ind w:left="288" w:hanging="288"/>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稿費為實施本計畫所需撰稿費及翻譯費，但撰寫本計畫之成果報告或發表之論文不得報支本項費用，計畫項下相關人員亦不得支領本項費用。</w:t>
            </w:r>
          </w:p>
          <w:p w:rsidR="003260C8" w:rsidRDefault="00326273">
            <w:pPr>
              <w:pStyle w:val="Standard"/>
              <w:ind w:left="288" w:hanging="288"/>
              <w:jc w:val="both"/>
              <w:rPr>
                <w:rFonts w:ascii="標楷體" w:eastAsia="標楷體" w:hAnsi="標楷體" w:cs="標楷體"/>
                <w:color w:val="000000"/>
              </w:rPr>
            </w:pPr>
            <w:r>
              <w:rPr>
                <w:rFonts w:ascii="標楷體" w:eastAsia="標楷體" w:hAnsi="標楷體" w:cs="標楷體"/>
                <w:color w:val="000000"/>
              </w:rPr>
              <w:t>3.</w:t>
            </w:r>
            <w:r>
              <w:rPr>
                <w:rFonts w:ascii="標楷體" w:eastAsia="標楷體" w:hAnsi="標楷體" w:cs="標楷體"/>
                <w:color w:val="000000"/>
              </w:rPr>
              <w:t>計畫項下已列支主持費及研究費等酬勞者不得支領審查費。</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480" w:hanging="480"/>
              <w:jc w:val="both"/>
              <w:rPr>
                <w:rFonts w:ascii="標楷體" w:eastAsia="標楷體" w:hAnsi="標楷體" w:cs="標楷體"/>
                <w:color w:val="000000"/>
              </w:rPr>
            </w:pPr>
            <w:r>
              <w:rPr>
                <w:rFonts w:ascii="標楷體" w:eastAsia="標楷體" w:hAnsi="標楷體" w:cs="標楷體"/>
                <w:color w:val="000000"/>
              </w:rPr>
              <w:t>7.</w:t>
            </w:r>
            <w:r>
              <w:rPr>
                <w:rFonts w:ascii="標楷體" w:eastAsia="標楷體" w:hAnsi="標楷體" w:cs="標楷體"/>
                <w:color w:val="000000"/>
              </w:rPr>
              <w:t>設備使用及維護費：依研究計畫需求編列。</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1.</w:t>
            </w:r>
            <w:r>
              <w:rPr>
                <w:rFonts w:ascii="標楷體" w:eastAsia="標楷體" w:hAnsi="標楷體" w:cs="標楷體"/>
                <w:color w:val="000000"/>
              </w:rPr>
              <w:t>實施本計畫專用之材料、物料、配件等費用屬之。</w:t>
            </w:r>
          </w:p>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2.</w:t>
            </w:r>
            <w:r>
              <w:rPr>
                <w:rFonts w:ascii="標楷體" w:eastAsia="標楷體" w:hAnsi="標楷體" w:cs="標楷體"/>
                <w:color w:val="000000"/>
              </w:rPr>
              <w:t>項目內容依各機關單位預算執行要點規定辦理。</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8.</w:t>
            </w:r>
            <w:r>
              <w:rPr>
                <w:rFonts w:ascii="標楷體" w:eastAsia="標楷體" w:hAnsi="標楷體" w:cs="標楷體"/>
                <w:color w:val="000000"/>
              </w:rPr>
              <w:t>租金：依研究計畫需求編列。</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實施本計畫所需場地及設備等租金。</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240" w:hanging="240"/>
              <w:jc w:val="both"/>
              <w:rPr>
                <w:rFonts w:ascii="標楷體" w:eastAsia="標楷體" w:hAnsi="標楷體" w:cs="標楷體"/>
                <w:color w:val="000000"/>
              </w:rPr>
            </w:pPr>
            <w:r>
              <w:rPr>
                <w:rFonts w:ascii="標楷體" w:eastAsia="標楷體" w:hAnsi="標楷體" w:cs="標楷體"/>
                <w:color w:val="000000"/>
              </w:rPr>
              <w:t>9.</w:t>
            </w:r>
            <w:r>
              <w:rPr>
                <w:rFonts w:ascii="標楷體" w:eastAsia="標楷體" w:hAnsi="標楷體" w:cs="標楷體"/>
                <w:color w:val="000000"/>
              </w:rPr>
              <w:t>臨時酬勞費：以當年度中央勞動主管機關公告之基本工資時薪標準編列，統一每人每天最高得以八小時估算，實際執行時則依勞動基準法相關規定核實報支。</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實施本計畫特定工作所需勞務之工資，應依據勞動基準法、全民健康保險法、勞工退休金條例及各機關學校聘僱人員離職給與辦法等相關規定核實編列受僱者勞保費、健保費、公提離職儲金或公提退休金費用，並於結報時檢附相關繳款單影本一份。</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360" w:hanging="360"/>
              <w:jc w:val="both"/>
              <w:rPr>
                <w:rFonts w:ascii="標楷體" w:eastAsia="標楷體" w:hAnsi="標楷體" w:cs="標楷體"/>
                <w:color w:val="000000"/>
              </w:rPr>
            </w:pPr>
            <w:r>
              <w:rPr>
                <w:rFonts w:ascii="標楷體" w:eastAsia="標楷體" w:hAnsi="標楷體" w:cs="標楷體"/>
                <w:color w:val="000000"/>
              </w:rPr>
              <w:t>10.</w:t>
            </w:r>
            <w:r>
              <w:rPr>
                <w:rFonts w:ascii="標楷體" w:eastAsia="標楷體" w:hAnsi="標楷體" w:cs="標楷體"/>
                <w:color w:val="000000"/>
              </w:rPr>
              <w:t>雜支費：最高以業務費之金額</w:t>
            </w:r>
            <w:r>
              <w:rPr>
                <w:rFonts w:ascii="標楷體" w:eastAsia="標楷體" w:hAnsi="標楷體" w:cs="標楷體"/>
                <w:color w:val="000000"/>
              </w:rPr>
              <w:t>(</w:t>
            </w:r>
            <w:r>
              <w:rPr>
                <w:rFonts w:ascii="標楷體" w:eastAsia="標楷體" w:hAnsi="標楷體" w:cs="標楷體"/>
                <w:color w:val="000000"/>
              </w:rPr>
              <w:t>不含本項</w:t>
            </w:r>
            <w:r>
              <w:rPr>
                <w:rFonts w:ascii="標楷體" w:eastAsia="標楷體" w:hAnsi="標楷體" w:cs="標楷體"/>
                <w:color w:val="000000"/>
              </w:rPr>
              <w:t>)</w:t>
            </w:r>
            <w:r>
              <w:rPr>
                <w:rFonts w:ascii="標楷體" w:eastAsia="標楷體" w:hAnsi="標楷體" w:cs="標楷體"/>
                <w:color w:val="000000"/>
              </w:rPr>
              <w:t>百分之五為上限。</w:t>
            </w:r>
            <w:r>
              <w:rPr>
                <w:rFonts w:ascii="標楷體" w:eastAsia="標楷體" w:hAnsi="標楷體" w:cs="標楷體"/>
                <w:color w:val="000000"/>
              </w:rPr>
              <w:t>(</w:t>
            </w:r>
            <w:r>
              <w:rPr>
                <w:rFonts w:ascii="標楷體" w:eastAsia="標楷體" w:hAnsi="標楷體" w:cs="標楷體"/>
                <w:color w:val="000000"/>
              </w:rPr>
              <w:t>核銷時以實際支出補助總經費核實計列</w:t>
            </w:r>
            <w:r>
              <w:rPr>
                <w:rFonts w:ascii="標楷體" w:eastAsia="標楷體" w:hAnsi="標楷體" w:cs="標楷體"/>
                <w:color w:val="000000"/>
              </w:rPr>
              <w:t>)</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費用包括文具、郵資等費用，並列舉預定支用項目。</w:t>
            </w:r>
          </w:p>
        </w:tc>
      </w:tr>
      <w:tr w:rsidR="003260C8">
        <w:tblPrEx>
          <w:tblCellMar>
            <w:top w:w="0" w:type="dxa"/>
            <w:bottom w:w="0" w:type="dxa"/>
          </w:tblCellMar>
        </w:tblPrEx>
        <w:trPr>
          <w:cantSplit/>
        </w:trPr>
        <w:tc>
          <w:tcPr>
            <w:tcW w:w="993"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0C8">
            <w:pPr>
              <w:rPr>
                <w:rFonts w:hint="eastAsia"/>
              </w:rPr>
            </w:pP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ind w:left="360" w:hanging="360"/>
              <w:jc w:val="both"/>
              <w:rPr>
                <w:rFonts w:ascii="標楷體" w:eastAsia="標楷體" w:hAnsi="標楷體" w:cs="標楷體"/>
                <w:color w:val="000000"/>
              </w:rPr>
            </w:pPr>
            <w:r>
              <w:rPr>
                <w:rFonts w:ascii="標楷體" w:eastAsia="標楷體" w:hAnsi="標楷體" w:cs="標楷體"/>
                <w:color w:val="000000"/>
              </w:rPr>
              <w:t>11.</w:t>
            </w:r>
            <w:r>
              <w:rPr>
                <w:rFonts w:ascii="標楷體" w:eastAsia="標楷體" w:hAnsi="標楷體" w:cs="標楷體"/>
                <w:color w:val="000000"/>
              </w:rPr>
              <w:t>其他經費：依研究計畫設計需求及相關主、會計規定編列。</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凡實施本計畫所需支付之費用無法歸列前述各款者。</w:t>
            </w:r>
          </w:p>
        </w:tc>
      </w:tr>
      <w:tr w:rsidR="003260C8">
        <w:tblPrEx>
          <w:tblCellMar>
            <w:top w:w="0" w:type="dxa"/>
            <w:bottom w:w="0" w:type="dxa"/>
          </w:tblCellMar>
        </w:tblPrEx>
        <w:tc>
          <w:tcPr>
            <w:tcW w:w="99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行政管理費</w:t>
            </w:r>
          </w:p>
        </w:tc>
        <w:tc>
          <w:tcPr>
            <w:tcW w:w="490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視實際需要，每年度最高以人事費及業務費總和之百分之十為上限。</w:t>
            </w:r>
            <w:r>
              <w:rPr>
                <w:rFonts w:ascii="標楷體" w:eastAsia="標楷體" w:hAnsi="標楷體" w:cs="標楷體"/>
                <w:color w:val="000000"/>
              </w:rPr>
              <w:t>(</w:t>
            </w:r>
            <w:r>
              <w:rPr>
                <w:rFonts w:ascii="標楷體" w:eastAsia="標楷體" w:hAnsi="標楷體" w:cs="標楷體"/>
                <w:color w:val="000000"/>
              </w:rPr>
              <w:t>核銷時以實際支出補助總經費核實計列</w:t>
            </w:r>
            <w:r>
              <w:rPr>
                <w:rFonts w:ascii="標楷體" w:eastAsia="標楷體" w:hAnsi="標楷體" w:cs="標楷體"/>
                <w:color w:val="000000"/>
              </w:rPr>
              <w:t>)</w:t>
            </w:r>
          </w:p>
        </w:tc>
        <w:tc>
          <w:tcPr>
            <w:tcW w:w="38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260C8" w:rsidRDefault="00326273">
            <w:pPr>
              <w:pStyle w:val="Standard"/>
              <w:jc w:val="both"/>
              <w:rPr>
                <w:rFonts w:ascii="標楷體" w:eastAsia="標楷體" w:hAnsi="標楷體" w:cs="標楷體"/>
                <w:color w:val="000000"/>
              </w:rPr>
            </w:pPr>
            <w:r>
              <w:rPr>
                <w:rFonts w:ascii="標楷體" w:eastAsia="標楷體" w:hAnsi="標楷體" w:cs="標楷體"/>
                <w:color w:val="000000"/>
              </w:rPr>
              <w:t>本項經費使用項目如水、電瓦斯費、大樓清潔費、電話費及電梯保養費等行政管理費用。</w:t>
            </w:r>
          </w:p>
        </w:tc>
      </w:tr>
    </w:tbl>
    <w:p w:rsidR="003260C8" w:rsidRDefault="003260C8">
      <w:pPr>
        <w:pStyle w:val="Standard"/>
        <w:rPr>
          <w:rFonts w:ascii="標楷體" w:eastAsia="標楷體" w:hAnsi="標楷體" w:cs="標楷體"/>
        </w:rPr>
      </w:pPr>
    </w:p>
    <w:sectPr w:rsidR="003260C8">
      <w:footerReference w:type="default" r:id="rId9"/>
      <w:pgSz w:w="11906" w:h="16838"/>
      <w:pgMar w:top="1418" w:right="1418" w:bottom="1418" w:left="1701"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273" w:rsidRDefault="00326273">
      <w:pPr>
        <w:rPr>
          <w:rFonts w:hint="eastAsia"/>
        </w:rPr>
      </w:pPr>
      <w:r>
        <w:separator/>
      </w:r>
    </w:p>
  </w:endnote>
  <w:endnote w:type="continuationSeparator" w:id="0">
    <w:p w:rsidR="00326273" w:rsidRDefault="003262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華康儷粗黑">
    <w:charset w:val="00"/>
    <w:family w:val="modern"/>
    <w:pitch w:val="default"/>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文鼎粗圓">
    <w:charset w:val="00"/>
    <w:family w:val="modern"/>
    <w:pitch w:val="default"/>
  </w:font>
  <w:font w:name="細明體, MingLiU">
    <w:charset w:val="00"/>
    <w:family w:val="modern"/>
    <w:pitch w:val="default"/>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華康公文系統字型, 新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өũ,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00" w:rsidRDefault="00326273">
    <w:pPr>
      <w:pStyle w:val="a6"/>
      <w:jc w:val="center"/>
    </w:pPr>
    <w:r>
      <w:fldChar w:fldCharType="begin"/>
    </w:r>
    <w:r>
      <w:instrText xml:space="preserve"> PAGE </w:instrText>
    </w:r>
    <w:r>
      <w:fldChar w:fldCharType="separate"/>
    </w:r>
    <w:r w:rsidR="00676D3D">
      <w:rPr>
        <w:noProof/>
      </w:rPr>
      <w:t>2</w:t>
    </w:r>
    <w:r>
      <w:fldChar w:fldCharType="end"/>
    </w:r>
  </w:p>
  <w:p w:rsidR="00A65F00" w:rsidRDefault="0032627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00" w:rsidRDefault="00326273">
    <w:pPr>
      <w:pStyle w:val="a6"/>
      <w:ind w:right="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14602" cy="20317"/>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14602" cy="20317"/>
                      </a:xfrm>
                      <a:prstGeom prst="rect">
                        <a:avLst/>
                      </a:prstGeom>
                      <a:solidFill>
                        <a:srgbClr val="FFFFFF">
                          <a:alpha val="0"/>
                        </a:srgbClr>
                      </a:solidFill>
                      <a:ln>
                        <a:noFill/>
                        <a:prstDash/>
                      </a:ln>
                    </wps:spPr>
                    <wps:txbx>
                      <w:txbxContent>
                        <w:p w:rsidR="00A65F00" w:rsidRDefault="00326273">
                          <w:pPr>
                            <w:pStyle w:val="a6"/>
                          </w:pPr>
                          <w:r>
                            <w:rPr>
                              <w:rStyle w:val="aff5"/>
                            </w:rPr>
                            <w:fldChar w:fldCharType="begin"/>
                          </w:r>
                          <w:r>
                            <w:rPr>
                              <w:rStyle w:val="aff5"/>
                            </w:rPr>
                            <w:instrText xml:space="preserve"> PAGE </w:instrText>
                          </w:r>
                          <w:r>
                            <w:rPr>
                              <w:rStyle w:val="aff5"/>
                            </w:rPr>
                            <w:fldChar w:fldCharType="separate"/>
                          </w:r>
                          <w:r w:rsidR="00676D3D">
                            <w:rPr>
                              <w:rStyle w:val="aff5"/>
                              <w:noProof/>
                            </w:rPr>
                            <w:t>13</w:t>
                          </w:r>
                          <w:r>
                            <w:rPr>
                              <w:rStyle w:val="aff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0;margin-top:.05pt;width:1.15pt;height:1.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" stroked="f">
              <v:fill opacity="0"/>
              <v:textbox style="mso-fit-shape-to-text:t" inset="0,0,0,0">
                <w:txbxContent>
                  <w:p w:rsidR="00A65F00" w:rsidRDefault="00326273">
                    <w:pPr>
                      <w:pStyle w:val="a6"/>
                    </w:pPr>
                    <w:r>
                      <w:rPr>
                        <w:rStyle w:val="aff5"/>
                      </w:rPr>
                      <w:fldChar w:fldCharType="begin"/>
                    </w:r>
                    <w:r>
                      <w:rPr>
                        <w:rStyle w:val="aff5"/>
                      </w:rPr>
                      <w:instrText xml:space="preserve"> PAGE </w:instrText>
                    </w:r>
                    <w:r>
                      <w:rPr>
                        <w:rStyle w:val="aff5"/>
                      </w:rPr>
                      <w:fldChar w:fldCharType="separate"/>
                    </w:r>
                    <w:r w:rsidR="00676D3D">
                      <w:rPr>
                        <w:rStyle w:val="aff5"/>
                        <w:noProof/>
                      </w:rPr>
                      <w:t>13</w:t>
                    </w:r>
                    <w:r>
                      <w:rPr>
                        <w:rStyle w:val="aff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00" w:rsidRDefault="00326273">
    <w:pPr>
      <w:pStyle w:val="a6"/>
      <w:ind w:right="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722</wp:posOffset>
              </wp:positionV>
              <wp:extent cx="14602" cy="20317"/>
              <wp:effectExtent l="0" t="0" r="0" b="0"/>
              <wp:wrapSquare wrapText="bothSides"/>
              <wp:docPr id="2" name="框架2"/>
              <wp:cNvGraphicFramePr/>
              <a:graphic xmlns:a="http://schemas.openxmlformats.org/drawingml/2006/main">
                <a:graphicData uri="http://schemas.microsoft.com/office/word/2010/wordprocessingShape">
                  <wps:wsp>
                    <wps:cNvSpPr txBox="1"/>
                    <wps:spPr>
                      <a:xfrm>
                        <a:off x="0" y="0"/>
                        <a:ext cx="14602" cy="20317"/>
                      </a:xfrm>
                      <a:prstGeom prst="rect">
                        <a:avLst/>
                      </a:prstGeom>
                      <a:solidFill>
                        <a:srgbClr val="FFFFFF">
                          <a:alpha val="0"/>
                        </a:srgbClr>
                      </a:solidFill>
                      <a:ln>
                        <a:noFill/>
                        <a:prstDash/>
                      </a:ln>
                    </wps:spPr>
                    <wps:txbx>
                      <w:txbxContent>
                        <w:p w:rsidR="00A65F00" w:rsidRDefault="00326273">
                          <w:pPr>
                            <w:pStyle w:val="a6"/>
                          </w:pPr>
                          <w:r>
                            <w:rPr>
                              <w:rStyle w:val="aff5"/>
                            </w:rPr>
                            <w:fldChar w:fldCharType="begin"/>
                          </w:r>
                          <w:r>
                            <w:rPr>
                              <w:rStyle w:val="aff5"/>
                            </w:rPr>
                            <w:instrText xml:space="preserve"> PAGE </w:instrText>
                          </w:r>
                          <w:r>
                            <w:rPr>
                              <w:rStyle w:val="aff5"/>
                            </w:rPr>
                            <w:fldChar w:fldCharType="separate"/>
                          </w:r>
                          <w:r w:rsidR="00676D3D">
                            <w:rPr>
                              <w:rStyle w:val="aff5"/>
                              <w:noProof/>
                            </w:rPr>
                            <w:t>15</w:t>
                          </w:r>
                          <w:r>
                            <w:rPr>
                              <w:rStyle w:val="aff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2" o:spid="_x0000_s1027" type="#_x0000_t202" style="position:absolute;left:0;text-align:left;margin-left:0;margin-top:.05pt;width:1.15pt;height:1.6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" stroked="f">
              <v:fill opacity="0"/>
              <v:textbox style="mso-fit-shape-to-text:t" inset="0,0,0,0">
                <w:txbxContent>
                  <w:p w:rsidR="00A65F00" w:rsidRDefault="00326273">
                    <w:pPr>
                      <w:pStyle w:val="a6"/>
                    </w:pPr>
                    <w:r>
                      <w:rPr>
                        <w:rStyle w:val="aff5"/>
                      </w:rPr>
                      <w:fldChar w:fldCharType="begin"/>
                    </w:r>
                    <w:r>
                      <w:rPr>
                        <w:rStyle w:val="aff5"/>
                      </w:rPr>
                      <w:instrText xml:space="preserve"> PAGE </w:instrText>
                    </w:r>
                    <w:r>
                      <w:rPr>
                        <w:rStyle w:val="aff5"/>
                      </w:rPr>
                      <w:fldChar w:fldCharType="separate"/>
                    </w:r>
                    <w:r w:rsidR="00676D3D">
                      <w:rPr>
                        <w:rStyle w:val="aff5"/>
                        <w:noProof/>
                      </w:rPr>
                      <w:t>15</w:t>
                    </w:r>
                    <w:r>
                      <w:rPr>
                        <w:rStyle w:val="aff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273" w:rsidRDefault="00326273">
      <w:pPr>
        <w:rPr>
          <w:rFonts w:hint="eastAsia"/>
        </w:rPr>
      </w:pPr>
      <w:r>
        <w:rPr>
          <w:color w:val="000000"/>
        </w:rPr>
        <w:separator/>
      </w:r>
    </w:p>
  </w:footnote>
  <w:footnote w:type="continuationSeparator" w:id="0">
    <w:p w:rsidR="00326273" w:rsidRDefault="0032627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B98"/>
    <w:multiLevelType w:val="multilevel"/>
    <w:tmpl w:val="F0AE05A4"/>
    <w:styleLink w:val="WW8Num23"/>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9C1D8F"/>
    <w:multiLevelType w:val="multilevel"/>
    <w:tmpl w:val="5E4C182A"/>
    <w:styleLink w:val="WW8Num2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2E4798F"/>
    <w:multiLevelType w:val="multilevel"/>
    <w:tmpl w:val="45E6FE5A"/>
    <w:styleLink w:val="WW8Num14"/>
    <w:lvl w:ilvl="0">
      <w:start w:val="1"/>
      <w:numFmt w:val="decimal"/>
      <w:lvlText w:val="%1."/>
      <w:lvlJc w:val="left"/>
      <w:pPr>
        <w:ind w:left="780" w:hanging="36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22303369"/>
    <w:multiLevelType w:val="multilevel"/>
    <w:tmpl w:val="1A965490"/>
    <w:styleLink w:val="WW8Num11"/>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2AC54D4"/>
    <w:multiLevelType w:val="multilevel"/>
    <w:tmpl w:val="27044044"/>
    <w:styleLink w:val="WW8Num25"/>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1D6B90"/>
    <w:multiLevelType w:val="multilevel"/>
    <w:tmpl w:val="78700096"/>
    <w:styleLink w:val="WW8Num30"/>
    <w:lvl w:ilvl="0">
      <w:start w:val="1"/>
      <w:numFmt w:val="japaneseCounting"/>
      <w:lvlText w:val="%1、"/>
      <w:lvlJc w:val="left"/>
      <w:pPr>
        <w:ind w:left="525" w:hanging="5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8304D1"/>
    <w:multiLevelType w:val="multilevel"/>
    <w:tmpl w:val="CD12EA16"/>
    <w:styleLink w:val="WW8Num7"/>
    <w:lvl w:ilvl="0">
      <w:start w:val="1"/>
      <w:numFmt w:val="japaneseCounting"/>
      <w:lvlText w:val="%1、"/>
      <w:lvlJc w:val="left"/>
      <w:pPr>
        <w:ind w:left="2568" w:hanging="648"/>
      </w:pPr>
    </w:lvl>
    <w:lvl w:ilvl="1">
      <w:start w:val="1"/>
      <w:numFmt w:val="ideographTraditional"/>
      <w:lvlText w:val="%2、"/>
      <w:lvlJc w:val="left"/>
      <w:pPr>
        <w:ind w:left="1349" w:hanging="480"/>
      </w:pPr>
    </w:lvl>
    <w:lvl w:ilvl="2">
      <w:start w:val="1"/>
      <w:numFmt w:val="lowerRoman"/>
      <w:lvlText w:val="%3."/>
      <w:lvlJc w:val="right"/>
      <w:pPr>
        <w:ind w:left="1829" w:hanging="480"/>
      </w:pPr>
    </w:lvl>
    <w:lvl w:ilvl="3">
      <w:start w:val="1"/>
      <w:numFmt w:val="decimal"/>
      <w:lvlText w:val="%4."/>
      <w:lvlJc w:val="left"/>
      <w:pPr>
        <w:ind w:left="2309" w:hanging="480"/>
      </w:pPr>
    </w:lvl>
    <w:lvl w:ilvl="4">
      <w:start w:val="1"/>
      <w:numFmt w:val="ideographTraditional"/>
      <w:lvlText w:val="%5、"/>
      <w:lvlJc w:val="left"/>
      <w:pPr>
        <w:ind w:left="2789" w:hanging="480"/>
      </w:pPr>
    </w:lvl>
    <w:lvl w:ilvl="5">
      <w:start w:val="1"/>
      <w:numFmt w:val="lowerRoman"/>
      <w:lvlText w:val="%6."/>
      <w:lvlJc w:val="right"/>
      <w:pPr>
        <w:ind w:left="3269" w:hanging="480"/>
      </w:pPr>
    </w:lvl>
    <w:lvl w:ilvl="6">
      <w:start w:val="1"/>
      <w:numFmt w:val="decimal"/>
      <w:lvlText w:val="%7."/>
      <w:lvlJc w:val="left"/>
      <w:pPr>
        <w:ind w:left="3749" w:hanging="480"/>
      </w:pPr>
    </w:lvl>
    <w:lvl w:ilvl="7">
      <w:start w:val="1"/>
      <w:numFmt w:val="ideographTraditional"/>
      <w:lvlText w:val="%8、"/>
      <w:lvlJc w:val="left"/>
      <w:pPr>
        <w:ind w:left="4229" w:hanging="480"/>
      </w:pPr>
    </w:lvl>
    <w:lvl w:ilvl="8">
      <w:start w:val="1"/>
      <w:numFmt w:val="lowerRoman"/>
      <w:lvlText w:val="%9."/>
      <w:lvlJc w:val="right"/>
      <w:pPr>
        <w:ind w:left="4709" w:hanging="480"/>
      </w:pPr>
    </w:lvl>
  </w:abstractNum>
  <w:abstractNum w:abstractNumId="7" w15:restartNumberingAfterBreak="0">
    <w:nsid w:val="2D863608"/>
    <w:multiLevelType w:val="multilevel"/>
    <w:tmpl w:val="35FEAE06"/>
    <w:styleLink w:val="WW8Num20"/>
    <w:lvl w:ilvl="0">
      <w:numFmt w:val="bullet"/>
      <w:lvlText w:val="●"/>
      <w:lvlJc w:val="left"/>
      <w:pPr>
        <w:ind w:left="300" w:hanging="300"/>
      </w:pPr>
      <w:rPr>
        <w:rFonts w:ascii="華康儷粗黑" w:eastAsia="華康儷粗黑" w:hAnsi="華康儷粗黑"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B240BC"/>
    <w:multiLevelType w:val="multilevel"/>
    <w:tmpl w:val="71787AB4"/>
    <w:styleLink w:val="WW8Num1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0E86977"/>
    <w:multiLevelType w:val="multilevel"/>
    <w:tmpl w:val="805A5B04"/>
    <w:styleLink w:val="WW8Num13"/>
    <w:lvl w:ilvl="0">
      <w:start w:val="1"/>
      <w:numFmt w:val="japaneseCounting"/>
      <w:lvlText w:val="%1、"/>
      <w:lvlJc w:val="left"/>
      <w:pPr>
        <w:ind w:left="60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7503FB5"/>
    <w:multiLevelType w:val="multilevel"/>
    <w:tmpl w:val="9E768876"/>
    <w:styleLink w:val="WW8Num16"/>
    <w:lvl w:ilvl="0">
      <w:start w:val="1"/>
      <w:numFmt w:val="japaneseCounting"/>
      <w:lvlText w:val="%1、"/>
      <w:lvlJc w:val="left"/>
      <w:pPr>
        <w:ind w:left="525" w:hanging="525"/>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BDA50C8"/>
    <w:multiLevelType w:val="multilevel"/>
    <w:tmpl w:val="C3344DEA"/>
    <w:styleLink w:val="WW8Num12"/>
    <w:lvl w:ilvl="0">
      <w:start w:val="1"/>
      <w:numFmt w:val="japaneseCounting"/>
      <w:lvlText w:val="%1、"/>
      <w:lvlJc w:val="left"/>
      <w:pPr>
        <w:ind w:left="2568" w:hanging="648"/>
      </w:pPr>
    </w:lvl>
    <w:lvl w:ilvl="1">
      <w:start w:val="1"/>
      <w:numFmt w:val="ideographTraditional"/>
      <w:lvlText w:val="%2、"/>
      <w:lvlJc w:val="left"/>
      <w:pPr>
        <w:ind w:left="1349" w:hanging="480"/>
      </w:pPr>
    </w:lvl>
    <w:lvl w:ilvl="2">
      <w:start w:val="1"/>
      <w:numFmt w:val="lowerRoman"/>
      <w:lvlText w:val="%3."/>
      <w:lvlJc w:val="right"/>
      <w:pPr>
        <w:ind w:left="1829" w:hanging="480"/>
      </w:pPr>
    </w:lvl>
    <w:lvl w:ilvl="3">
      <w:start w:val="1"/>
      <w:numFmt w:val="decimal"/>
      <w:lvlText w:val="%4."/>
      <w:lvlJc w:val="left"/>
      <w:pPr>
        <w:ind w:left="2309" w:hanging="480"/>
      </w:pPr>
    </w:lvl>
    <w:lvl w:ilvl="4">
      <w:start w:val="1"/>
      <w:numFmt w:val="ideographTraditional"/>
      <w:lvlText w:val="%5、"/>
      <w:lvlJc w:val="left"/>
      <w:pPr>
        <w:ind w:left="2789" w:hanging="480"/>
      </w:pPr>
    </w:lvl>
    <w:lvl w:ilvl="5">
      <w:start w:val="1"/>
      <w:numFmt w:val="lowerRoman"/>
      <w:lvlText w:val="%6."/>
      <w:lvlJc w:val="right"/>
      <w:pPr>
        <w:ind w:left="3269" w:hanging="480"/>
      </w:pPr>
    </w:lvl>
    <w:lvl w:ilvl="6">
      <w:start w:val="1"/>
      <w:numFmt w:val="decimal"/>
      <w:lvlText w:val="%7."/>
      <w:lvlJc w:val="left"/>
      <w:pPr>
        <w:ind w:left="3749" w:hanging="480"/>
      </w:pPr>
    </w:lvl>
    <w:lvl w:ilvl="7">
      <w:start w:val="1"/>
      <w:numFmt w:val="ideographTraditional"/>
      <w:lvlText w:val="%8、"/>
      <w:lvlJc w:val="left"/>
      <w:pPr>
        <w:ind w:left="4229" w:hanging="480"/>
      </w:pPr>
    </w:lvl>
    <w:lvl w:ilvl="8">
      <w:start w:val="1"/>
      <w:numFmt w:val="lowerRoman"/>
      <w:lvlText w:val="%9."/>
      <w:lvlJc w:val="right"/>
      <w:pPr>
        <w:ind w:left="4709" w:hanging="480"/>
      </w:pPr>
    </w:lvl>
  </w:abstractNum>
  <w:abstractNum w:abstractNumId="12" w15:restartNumberingAfterBreak="0">
    <w:nsid w:val="41BF058D"/>
    <w:multiLevelType w:val="multilevel"/>
    <w:tmpl w:val="1FAC8C22"/>
    <w:styleLink w:val="WW8Num17"/>
    <w:lvl w:ilvl="0">
      <w:start w:val="1"/>
      <w:numFmt w:val="japaneseCounting"/>
      <w:lvlText w:val="%1、"/>
      <w:lvlJc w:val="left"/>
      <w:pPr>
        <w:ind w:left="540" w:hanging="480"/>
      </w:p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13" w15:restartNumberingAfterBreak="0">
    <w:nsid w:val="43F1438B"/>
    <w:multiLevelType w:val="multilevel"/>
    <w:tmpl w:val="F09C2B9C"/>
    <w:styleLink w:val="WW8Num1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8202F16"/>
    <w:multiLevelType w:val="multilevel"/>
    <w:tmpl w:val="32369EA0"/>
    <w:styleLink w:val="WW8Num21"/>
    <w:lvl w:ilvl="0">
      <w:start w:val="1"/>
      <w:numFmt w:val="japaneseCounting"/>
      <w:lvlText w:val="(%1)"/>
      <w:lvlJc w:val="left"/>
      <w:pPr>
        <w:ind w:left="2179" w:hanging="64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AC067F"/>
    <w:multiLevelType w:val="multilevel"/>
    <w:tmpl w:val="E4BEC840"/>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4935742"/>
    <w:multiLevelType w:val="multilevel"/>
    <w:tmpl w:val="7714CF10"/>
    <w:styleLink w:val="WW8Num24"/>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3005381"/>
    <w:multiLevelType w:val="multilevel"/>
    <w:tmpl w:val="7738005C"/>
    <w:styleLink w:val="WW8Num22"/>
    <w:lvl w:ilvl="0">
      <w:start w:val="1"/>
      <w:numFmt w:val="japaneseCounting"/>
      <w:lvlText w:val="（%1）"/>
      <w:lvlJc w:val="left"/>
      <w:pPr>
        <w:ind w:left="1830" w:hanging="3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18" w15:restartNumberingAfterBreak="0">
    <w:nsid w:val="674228BF"/>
    <w:multiLevelType w:val="multilevel"/>
    <w:tmpl w:val="A7A4CAFA"/>
    <w:styleLink w:val="WW8Num19"/>
    <w:lvl w:ilvl="0">
      <w:start w:val="1"/>
      <w:numFmt w:val="japaneseCounting"/>
      <w:lvlText w:val="（%1）"/>
      <w:lvlJc w:val="left"/>
      <w:pPr>
        <w:ind w:left="2790" w:hanging="990"/>
      </w:pPr>
    </w:lvl>
    <w:lvl w:ilvl="1">
      <w:start w:val="1"/>
      <w:numFmt w:val="ideographTraditional"/>
      <w:lvlText w:val="%2、"/>
      <w:lvlJc w:val="left"/>
      <w:pPr>
        <w:ind w:left="2760" w:hanging="480"/>
      </w:pPr>
    </w:lvl>
    <w:lvl w:ilvl="2">
      <w:start w:val="1"/>
      <w:numFmt w:val="lowerRoman"/>
      <w:lvlText w:val="%3."/>
      <w:lvlJc w:val="right"/>
      <w:pPr>
        <w:ind w:left="3240" w:hanging="480"/>
      </w:pPr>
    </w:lvl>
    <w:lvl w:ilvl="3">
      <w:start w:val="1"/>
      <w:numFmt w:val="decimal"/>
      <w:lvlText w:val="%4."/>
      <w:lvlJc w:val="left"/>
      <w:pPr>
        <w:ind w:left="3720" w:hanging="480"/>
      </w:pPr>
    </w:lvl>
    <w:lvl w:ilvl="4">
      <w:start w:val="1"/>
      <w:numFmt w:val="ideographTraditional"/>
      <w:lvlText w:val="%5、"/>
      <w:lvlJc w:val="left"/>
      <w:pPr>
        <w:ind w:left="4200" w:hanging="480"/>
      </w:pPr>
    </w:lvl>
    <w:lvl w:ilvl="5">
      <w:start w:val="1"/>
      <w:numFmt w:val="lowerRoman"/>
      <w:lvlText w:val="%6."/>
      <w:lvlJc w:val="right"/>
      <w:pPr>
        <w:ind w:left="4680" w:hanging="480"/>
      </w:pPr>
    </w:lvl>
    <w:lvl w:ilvl="6">
      <w:start w:val="1"/>
      <w:numFmt w:val="decimal"/>
      <w:lvlText w:val="%7."/>
      <w:lvlJc w:val="left"/>
      <w:pPr>
        <w:ind w:left="5160" w:hanging="480"/>
      </w:pPr>
    </w:lvl>
    <w:lvl w:ilvl="7">
      <w:start w:val="1"/>
      <w:numFmt w:val="ideographTraditional"/>
      <w:lvlText w:val="%8、"/>
      <w:lvlJc w:val="left"/>
      <w:pPr>
        <w:ind w:left="5640" w:hanging="480"/>
      </w:pPr>
    </w:lvl>
    <w:lvl w:ilvl="8">
      <w:start w:val="1"/>
      <w:numFmt w:val="lowerRoman"/>
      <w:lvlText w:val="%9."/>
      <w:lvlJc w:val="right"/>
      <w:pPr>
        <w:ind w:left="6120" w:hanging="480"/>
      </w:pPr>
    </w:lvl>
  </w:abstractNum>
  <w:abstractNum w:abstractNumId="19" w15:restartNumberingAfterBreak="0">
    <w:nsid w:val="67E91356"/>
    <w:multiLevelType w:val="multilevel"/>
    <w:tmpl w:val="E53A8294"/>
    <w:styleLink w:val="WW8Num27"/>
    <w:lvl w:ilvl="0">
      <w:start w:val="1"/>
      <w:numFmt w:val="decimal"/>
      <w:lvlText w:val="%1."/>
      <w:lvlJc w:val="left"/>
      <w:pPr>
        <w:ind w:left="698" w:hanging="360"/>
      </w:pPr>
      <w:rPr>
        <w:position w:val="0"/>
        <w:vertAlign w:val="baseline"/>
      </w:rPr>
    </w:lvl>
    <w:lvl w:ilvl="1">
      <w:start w:val="1"/>
      <w:numFmt w:val="decimal"/>
      <w:lvlText w:val="%2、"/>
      <w:lvlJc w:val="left"/>
      <w:pPr>
        <w:ind w:left="1298" w:hanging="479"/>
      </w:pPr>
      <w:rPr>
        <w:position w:val="0"/>
        <w:vertAlign w:val="baseline"/>
      </w:rPr>
    </w:lvl>
    <w:lvl w:ilvl="2">
      <w:start w:val="1"/>
      <w:numFmt w:val="lowerRoman"/>
      <w:lvlText w:val="%3."/>
      <w:lvlJc w:val="right"/>
      <w:pPr>
        <w:ind w:left="1778" w:hanging="480"/>
      </w:pPr>
      <w:rPr>
        <w:position w:val="0"/>
        <w:vertAlign w:val="baseline"/>
      </w:rPr>
    </w:lvl>
    <w:lvl w:ilvl="3">
      <w:start w:val="1"/>
      <w:numFmt w:val="decimal"/>
      <w:lvlText w:val="%4."/>
      <w:lvlJc w:val="left"/>
      <w:pPr>
        <w:ind w:left="2258" w:hanging="480"/>
      </w:pPr>
      <w:rPr>
        <w:position w:val="0"/>
        <w:vertAlign w:val="baseline"/>
      </w:rPr>
    </w:lvl>
    <w:lvl w:ilvl="4">
      <w:start w:val="1"/>
      <w:numFmt w:val="decimal"/>
      <w:lvlText w:val="%5、"/>
      <w:lvlJc w:val="left"/>
      <w:pPr>
        <w:ind w:left="2738" w:hanging="480"/>
      </w:pPr>
      <w:rPr>
        <w:position w:val="0"/>
        <w:vertAlign w:val="baseline"/>
      </w:rPr>
    </w:lvl>
    <w:lvl w:ilvl="5">
      <w:start w:val="1"/>
      <w:numFmt w:val="lowerRoman"/>
      <w:lvlText w:val="%6."/>
      <w:lvlJc w:val="right"/>
      <w:pPr>
        <w:ind w:left="3218" w:hanging="480"/>
      </w:pPr>
      <w:rPr>
        <w:position w:val="0"/>
        <w:vertAlign w:val="baseline"/>
      </w:rPr>
    </w:lvl>
    <w:lvl w:ilvl="6">
      <w:start w:val="1"/>
      <w:numFmt w:val="decimal"/>
      <w:lvlText w:val="%7."/>
      <w:lvlJc w:val="left"/>
      <w:pPr>
        <w:ind w:left="3698" w:hanging="480"/>
      </w:pPr>
      <w:rPr>
        <w:position w:val="0"/>
        <w:vertAlign w:val="baseline"/>
      </w:rPr>
    </w:lvl>
    <w:lvl w:ilvl="7">
      <w:start w:val="1"/>
      <w:numFmt w:val="decimal"/>
      <w:lvlText w:val="%8、"/>
      <w:lvlJc w:val="left"/>
      <w:pPr>
        <w:ind w:left="4178" w:hanging="480"/>
      </w:pPr>
      <w:rPr>
        <w:position w:val="0"/>
        <w:vertAlign w:val="baseline"/>
      </w:rPr>
    </w:lvl>
    <w:lvl w:ilvl="8">
      <w:start w:val="1"/>
      <w:numFmt w:val="lowerRoman"/>
      <w:lvlText w:val="%9."/>
      <w:lvlJc w:val="right"/>
      <w:pPr>
        <w:ind w:left="4658" w:hanging="480"/>
      </w:pPr>
      <w:rPr>
        <w:position w:val="0"/>
        <w:vertAlign w:val="baseline"/>
      </w:rPr>
    </w:lvl>
  </w:abstractNum>
  <w:abstractNum w:abstractNumId="20" w15:restartNumberingAfterBreak="0">
    <w:nsid w:val="691A558C"/>
    <w:multiLevelType w:val="multilevel"/>
    <w:tmpl w:val="6262C488"/>
    <w:styleLink w:val="WW8Num6"/>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C91C65"/>
    <w:multiLevelType w:val="multilevel"/>
    <w:tmpl w:val="28CA36C2"/>
    <w:styleLink w:val="WW8Num2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A4E7D09"/>
    <w:multiLevelType w:val="multilevel"/>
    <w:tmpl w:val="1F2A13CE"/>
    <w:styleLink w:val="WW8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E8072D9"/>
    <w:multiLevelType w:val="multilevel"/>
    <w:tmpl w:val="9636FE34"/>
    <w:styleLink w:val="WW8Num26"/>
    <w:lvl w:ilvl="0">
      <w:start w:val="1"/>
      <w:numFmt w:val="japaneseCounting"/>
      <w:lvlText w:val="(%1)"/>
      <w:lvlJc w:val="left"/>
      <w:pPr>
        <w:ind w:left="1185" w:hanging="64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0A70A2B"/>
    <w:multiLevelType w:val="multilevel"/>
    <w:tmpl w:val="6C06A8D0"/>
    <w:styleLink w:val="WW8Num2"/>
    <w:lvl w:ilvl="0">
      <w:start w:val="1"/>
      <w:numFmt w:val="japaneseCounting"/>
      <w:lvlText w:val="%1、"/>
      <w:lvlJc w:val="left"/>
      <w:pPr>
        <w:ind w:left="525" w:hanging="5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4122E2F"/>
    <w:multiLevelType w:val="multilevel"/>
    <w:tmpl w:val="127097BE"/>
    <w:styleLink w:val="WW8Num1"/>
    <w:lvl w:ilvl="0">
      <w:start w:val="1"/>
      <w:numFmt w:val="japaneseCounting"/>
      <w:lvlText w:val="%1、"/>
      <w:lvlJc w:val="left"/>
      <w:pPr>
        <w:ind w:left="2179" w:hanging="648"/>
      </w:pPr>
      <w:rPr>
        <w:rFonts w:ascii="標楷體" w:eastAsia="標楷體" w:hAnsi="標楷體" w:cs="標楷體"/>
      </w:rPr>
    </w:lvl>
    <w:lvl w:ilvl="1">
      <w:start w:val="1"/>
      <w:numFmt w:val="ideographTraditional"/>
      <w:lvlText w:val="%2、"/>
      <w:lvlJc w:val="left"/>
      <w:pPr>
        <w:ind w:left="2491" w:hanging="480"/>
      </w:pPr>
    </w:lvl>
    <w:lvl w:ilvl="2">
      <w:start w:val="1"/>
      <w:numFmt w:val="lowerRoman"/>
      <w:lvlText w:val="%3."/>
      <w:lvlJc w:val="right"/>
      <w:pPr>
        <w:ind w:left="2971" w:hanging="480"/>
      </w:pPr>
    </w:lvl>
    <w:lvl w:ilvl="3">
      <w:start w:val="1"/>
      <w:numFmt w:val="decimal"/>
      <w:lvlText w:val="%4."/>
      <w:lvlJc w:val="left"/>
      <w:pPr>
        <w:ind w:left="3451" w:hanging="480"/>
      </w:pPr>
    </w:lvl>
    <w:lvl w:ilvl="4">
      <w:start w:val="1"/>
      <w:numFmt w:val="ideographTraditional"/>
      <w:lvlText w:val="%5、"/>
      <w:lvlJc w:val="left"/>
      <w:pPr>
        <w:ind w:left="3931" w:hanging="480"/>
      </w:pPr>
    </w:lvl>
    <w:lvl w:ilvl="5">
      <w:start w:val="1"/>
      <w:numFmt w:val="lowerRoman"/>
      <w:lvlText w:val="%6."/>
      <w:lvlJc w:val="right"/>
      <w:pPr>
        <w:ind w:left="4411" w:hanging="480"/>
      </w:pPr>
    </w:lvl>
    <w:lvl w:ilvl="6">
      <w:start w:val="1"/>
      <w:numFmt w:val="decimal"/>
      <w:lvlText w:val="%7."/>
      <w:lvlJc w:val="left"/>
      <w:pPr>
        <w:ind w:left="4891" w:hanging="480"/>
      </w:pPr>
    </w:lvl>
    <w:lvl w:ilvl="7">
      <w:start w:val="1"/>
      <w:numFmt w:val="ideographTraditional"/>
      <w:lvlText w:val="%8、"/>
      <w:lvlJc w:val="left"/>
      <w:pPr>
        <w:ind w:left="5371" w:hanging="480"/>
      </w:pPr>
    </w:lvl>
    <w:lvl w:ilvl="8">
      <w:start w:val="1"/>
      <w:numFmt w:val="lowerRoman"/>
      <w:lvlText w:val="%9."/>
      <w:lvlJc w:val="right"/>
      <w:pPr>
        <w:ind w:left="5851" w:hanging="480"/>
      </w:pPr>
    </w:lvl>
  </w:abstractNum>
  <w:abstractNum w:abstractNumId="26" w15:restartNumberingAfterBreak="0">
    <w:nsid w:val="74595B35"/>
    <w:multiLevelType w:val="multilevel"/>
    <w:tmpl w:val="AC8E5350"/>
    <w:styleLink w:val="WW8Num3"/>
    <w:lvl w:ilvl="0">
      <w:start w:val="1"/>
      <w:numFmt w:val="japaneseCounting"/>
      <w:lvlText w:val="%1、"/>
      <w:lvlJc w:val="left"/>
      <w:pPr>
        <w:ind w:left="2179" w:hanging="648"/>
      </w:pPr>
    </w:lvl>
    <w:lvl w:ilvl="1">
      <w:start w:val="1"/>
      <w:numFmt w:val="ideographTraditional"/>
      <w:lvlText w:val="%2、"/>
      <w:lvlJc w:val="left"/>
      <w:pPr>
        <w:ind w:left="2491" w:hanging="480"/>
      </w:pPr>
    </w:lvl>
    <w:lvl w:ilvl="2">
      <w:start w:val="1"/>
      <w:numFmt w:val="lowerRoman"/>
      <w:lvlText w:val="%3."/>
      <w:lvlJc w:val="right"/>
      <w:pPr>
        <w:ind w:left="2971" w:hanging="480"/>
      </w:pPr>
    </w:lvl>
    <w:lvl w:ilvl="3">
      <w:start w:val="1"/>
      <w:numFmt w:val="decimal"/>
      <w:lvlText w:val="%4."/>
      <w:lvlJc w:val="left"/>
      <w:pPr>
        <w:ind w:left="3451" w:hanging="480"/>
      </w:pPr>
    </w:lvl>
    <w:lvl w:ilvl="4">
      <w:start w:val="1"/>
      <w:numFmt w:val="ideographTraditional"/>
      <w:lvlText w:val="%5、"/>
      <w:lvlJc w:val="left"/>
      <w:pPr>
        <w:ind w:left="3931" w:hanging="480"/>
      </w:pPr>
    </w:lvl>
    <w:lvl w:ilvl="5">
      <w:start w:val="1"/>
      <w:numFmt w:val="lowerRoman"/>
      <w:lvlText w:val="%6."/>
      <w:lvlJc w:val="right"/>
      <w:pPr>
        <w:ind w:left="4411" w:hanging="480"/>
      </w:pPr>
    </w:lvl>
    <w:lvl w:ilvl="6">
      <w:start w:val="1"/>
      <w:numFmt w:val="decimal"/>
      <w:lvlText w:val="%7."/>
      <w:lvlJc w:val="left"/>
      <w:pPr>
        <w:ind w:left="4891" w:hanging="480"/>
      </w:pPr>
    </w:lvl>
    <w:lvl w:ilvl="7">
      <w:start w:val="1"/>
      <w:numFmt w:val="ideographTraditional"/>
      <w:lvlText w:val="%8、"/>
      <w:lvlJc w:val="left"/>
      <w:pPr>
        <w:ind w:left="5371" w:hanging="480"/>
      </w:pPr>
    </w:lvl>
    <w:lvl w:ilvl="8">
      <w:start w:val="1"/>
      <w:numFmt w:val="lowerRoman"/>
      <w:lvlText w:val="%9."/>
      <w:lvlJc w:val="right"/>
      <w:pPr>
        <w:ind w:left="5851" w:hanging="480"/>
      </w:pPr>
    </w:lvl>
  </w:abstractNum>
  <w:abstractNum w:abstractNumId="27" w15:restartNumberingAfterBreak="0">
    <w:nsid w:val="79BE3804"/>
    <w:multiLevelType w:val="multilevel"/>
    <w:tmpl w:val="667C192C"/>
    <w:styleLink w:val="WW8Num8"/>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A402D21"/>
    <w:multiLevelType w:val="multilevel"/>
    <w:tmpl w:val="1B46C406"/>
    <w:styleLink w:val="WW8Num9"/>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CF05D8D"/>
    <w:multiLevelType w:val="multilevel"/>
    <w:tmpl w:val="670CA51C"/>
    <w:styleLink w:val="WW8Num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5"/>
  </w:num>
  <w:num w:numId="2">
    <w:abstractNumId w:val="24"/>
  </w:num>
  <w:num w:numId="3">
    <w:abstractNumId w:val="26"/>
  </w:num>
  <w:num w:numId="4">
    <w:abstractNumId w:val="15"/>
  </w:num>
  <w:num w:numId="5">
    <w:abstractNumId w:val="29"/>
  </w:num>
  <w:num w:numId="6">
    <w:abstractNumId w:val="20"/>
  </w:num>
  <w:num w:numId="7">
    <w:abstractNumId w:val="6"/>
  </w:num>
  <w:num w:numId="8">
    <w:abstractNumId w:val="27"/>
  </w:num>
  <w:num w:numId="9">
    <w:abstractNumId w:val="28"/>
  </w:num>
  <w:num w:numId="10">
    <w:abstractNumId w:val="22"/>
  </w:num>
  <w:num w:numId="11">
    <w:abstractNumId w:val="3"/>
  </w:num>
  <w:num w:numId="12">
    <w:abstractNumId w:val="11"/>
  </w:num>
  <w:num w:numId="13">
    <w:abstractNumId w:val="9"/>
  </w:num>
  <w:num w:numId="14">
    <w:abstractNumId w:val="2"/>
  </w:num>
  <w:num w:numId="15">
    <w:abstractNumId w:val="13"/>
  </w:num>
  <w:num w:numId="16">
    <w:abstractNumId w:val="10"/>
  </w:num>
  <w:num w:numId="17">
    <w:abstractNumId w:val="12"/>
  </w:num>
  <w:num w:numId="18">
    <w:abstractNumId w:val="8"/>
  </w:num>
  <w:num w:numId="19">
    <w:abstractNumId w:val="18"/>
  </w:num>
  <w:num w:numId="20">
    <w:abstractNumId w:val="7"/>
  </w:num>
  <w:num w:numId="21">
    <w:abstractNumId w:val="14"/>
  </w:num>
  <w:num w:numId="22">
    <w:abstractNumId w:val="17"/>
  </w:num>
  <w:num w:numId="23">
    <w:abstractNumId w:val="0"/>
  </w:num>
  <w:num w:numId="24">
    <w:abstractNumId w:val="16"/>
  </w:num>
  <w:num w:numId="25">
    <w:abstractNumId w:val="4"/>
  </w:num>
  <w:num w:numId="26">
    <w:abstractNumId w:val="23"/>
  </w:num>
  <w:num w:numId="27">
    <w:abstractNumId w:val="19"/>
  </w:num>
  <w:num w:numId="28">
    <w:abstractNumId w:val="21"/>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260C8"/>
    <w:rsid w:val="003260C8"/>
    <w:rsid w:val="00326273"/>
    <w:rsid w:val="00676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355B9-FB30-4ED0-BB05-D9126E3D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2">
    <w:name w:val="heading 2"/>
    <w:basedOn w:val="Standard"/>
    <w:next w:val="Textbody"/>
    <w:pPr>
      <w:widowControl/>
      <w:spacing w:before="280" w:after="280"/>
      <w:outlineLvl w:val="1"/>
    </w:pPr>
    <w:rPr>
      <w:rFonts w:ascii="新細明體, PMingLiU" w:hAnsi="新細明體, PMingLiU" w:cs="新細明體, PMingLiU"/>
      <w:b/>
      <w:bCs/>
      <w:color w:val="00008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line="400" w:lineRule="exact"/>
    </w:pPr>
    <w:rPr>
      <w:rFonts w:eastAsia="標楷體"/>
      <w:sz w:val="28"/>
      <w:szCs w:val="20"/>
    </w:rPr>
  </w:style>
  <w:style w:type="paragraph" w:styleId="a3">
    <w:name w:val="List"/>
    <w:basedOn w:val="Standard"/>
    <w:pPr>
      <w:ind w:left="100" w:hanging="200"/>
    </w:pPr>
  </w:style>
  <w:style w:type="paragraph" w:styleId="a4">
    <w:name w:val="caption"/>
    <w:basedOn w:val="Standard"/>
    <w:next w:val="Standard"/>
    <w:rPr>
      <w:sz w:val="20"/>
      <w:szCs w:val="20"/>
    </w:rPr>
  </w:style>
  <w:style w:type="paragraph" w:customStyle="1" w:styleId="Index">
    <w:name w:val="Index"/>
    <w:basedOn w:val="Standard"/>
    <w:pPr>
      <w:suppressLineNumbers/>
    </w:pPr>
    <w:rPr>
      <w:rFonts w:cs="Mangal"/>
    </w:rPr>
  </w:style>
  <w:style w:type="paragraph" w:customStyle="1" w:styleId="a5">
    <w:name w:val="字元 字元 字元"/>
    <w:basedOn w:val="Standard"/>
    <w:pPr>
      <w:widowControl/>
      <w:spacing w:after="160" w:line="240" w:lineRule="exact"/>
    </w:pPr>
    <w:rPr>
      <w:rFonts w:ascii="Tahoma" w:eastAsia="Tahoma" w:hAnsi="Tahoma" w:cs="Tahoma"/>
      <w:sz w:val="20"/>
      <w:szCs w:val="20"/>
    </w:rPr>
  </w:style>
  <w:style w:type="paragraph" w:customStyle="1" w:styleId="-1">
    <w:name w:val="標題-1"/>
    <w:basedOn w:val="Standard"/>
    <w:pPr>
      <w:spacing w:after="120" w:line="0" w:lineRule="atLeast"/>
    </w:pPr>
    <w:rPr>
      <w:rFonts w:ascii="Arial" w:eastAsia="標楷體" w:hAnsi="Arial" w:cs="Arial"/>
      <w:sz w:val="40"/>
    </w:rPr>
  </w:style>
  <w:style w:type="paragraph" w:styleId="20">
    <w:name w:val="Body Text Indent 2"/>
    <w:basedOn w:val="Standard"/>
    <w:pPr>
      <w:ind w:left="561" w:hanging="280"/>
      <w:jc w:val="both"/>
    </w:pPr>
    <w:rPr>
      <w:rFonts w:ascii="標楷體" w:eastAsia="標楷體" w:hAnsi="標楷體" w:cs="標楷體"/>
      <w:sz w:val="28"/>
      <w:szCs w:val="20"/>
    </w:rPr>
  </w:style>
  <w:style w:type="paragraph" w:customStyle="1" w:styleId="Textbodyindent">
    <w:name w:val="Text body indent"/>
    <w:basedOn w:val="Standard"/>
    <w:pPr>
      <w:spacing w:after="120"/>
      <w:ind w:left="480"/>
    </w:pPr>
  </w:style>
  <w:style w:type="paragraph" w:styleId="a6">
    <w:name w:val="footer"/>
    <w:basedOn w:val="Standard"/>
    <w:pPr>
      <w:tabs>
        <w:tab w:val="center" w:pos="4153"/>
        <w:tab w:val="right" w:pos="8306"/>
      </w:tabs>
      <w:snapToGrid w:val="0"/>
    </w:pPr>
    <w:rPr>
      <w:sz w:val="20"/>
      <w:szCs w:val="20"/>
    </w:rPr>
  </w:style>
  <w:style w:type="paragraph" w:styleId="a7">
    <w:name w:val="header"/>
    <w:basedOn w:val="Standard"/>
    <w:pPr>
      <w:tabs>
        <w:tab w:val="center" w:pos="4153"/>
        <w:tab w:val="right" w:pos="8306"/>
      </w:tabs>
      <w:snapToGrid w:val="0"/>
    </w:pPr>
    <w:rPr>
      <w:sz w:val="20"/>
      <w:szCs w:val="20"/>
    </w:rPr>
  </w:style>
  <w:style w:type="paragraph" w:styleId="3">
    <w:name w:val="Body Text Indent 3"/>
    <w:basedOn w:val="Standard"/>
    <w:pPr>
      <w:spacing w:after="120"/>
      <w:ind w:left="480"/>
    </w:pPr>
    <w:rPr>
      <w:sz w:val="16"/>
      <w:szCs w:val="16"/>
    </w:rPr>
  </w:style>
  <w:style w:type="paragraph" w:styleId="a8">
    <w:name w:val="Date"/>
    <w:basedOn w:val="Standard"/>
    <w:next w:val="Standard"/>
    <w:pPr>
      <w:jc w:val="right"/>
    </w:pPr>
    <w:rPr>
      <w:rFonts w:ascii="標楷體" w:eastAsia="標楷體" w:hAnsi="標楷體" w:cs="標楷體"/>
      <w:sz w:val="20"/>
      <w:szCs w:val="20"/>
    </w:rPr>
  </w:style>
  <w:style w:type="paragraph" w:styleId="21">
    <w:name w:val="Body Text 2"/>
    <w:basedOn w:val="Standard"/>
    <w:pPr>
      <w:spacing w:after="120" w:line="480" w:lineRule="auto"/>
    </w:pPr>
  </w:style>
  <w:style w:type="paragraph" w:customStyle="1" w:styleId="123">
    <w:name w:val="123"/>
    <w:basedOn w:val="Standard"/>
    <w:rPr>
      <w:rFonts w:ascii="文鼎粗圓" w:eastAsia="文鼎粗圓" w:hAnsi="文鼎粗圓" w:cs="文鼎粗圓"/>
      <w:sz w:val="40"/>
      <w:szCs w:val="4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styleId="Web">
    <w:name w:val="Normal (Web)"/>
    <w:basedOn w:val="Standard"/>
    <w:pPr>
      <w:widowControl/>
      <w:spacing w:before="280" w:after="280"/>
    </w:pPr>
    <w:rPr>
      <w:rFonts w:ascii="Arial Unicode MS" w:eastAsia="Arial Unicode MS" w:hAnsi="Arial Unicode MS" w:cs="Arial Unicode MS"/>
    </w:rPr>
  </w:style>
  <w:style w:type="paragraph" w:styleId="a9">
    <w:name w:val="Note Heading"/>
    <w:basedOn w:val="Standard"/>
    <w:next w:val="Standard"/>
    <w:pPr>
      <w:jc w:val="center"/>
    </w:pPr>
    <w:rPr>
      <w:rFonts w:ascii="標楷體" w:eastAsia="標楷體" w:hAnsi="標楷體" w:cs="標楷體"/>
      <w:sz w:val="20"/>
    </w:rPr>
  </w:style>
  <w:style w:type="paragraph" w:styleId="aa">
    <w:name w:val="Closing"/>
    <w:basedOn w:val="Standard"/>
    <w:pPr>
      <w:ind w:left="100"/>
    </w:pPr>
    <w:rPr>
      <w:rFonts w:ascii="標楷體" w:eastAsia="標楷體" w:hAnsi="標楷體" w:cs="標楷體"/>
      <w:sz w:val="20"/>
    </w:rPr>
  </w:style>
  <w:style w:type="paragraph" w:customStyle="1" w:styleId="ab">
    <w:name w:val="條一"/>
    <w:basedOn w:val="Standard"/>
    <w:pPr>
      <w:widowControl/>
      <w:overflowPunct w:val="0"/>
      <w:autoSpaceDE w:val="0"/>
      <w:spacing w:line="240" w:lineRule="atLeast"/>
      <w:ind w:left="152" w:hanging="152"/>
      <w:textAlignment w:val="center"/>
    </w:pPr>
    <w:rPr>
      <w:rFonts w:ascii="標楷體" w:eastAsia="標楷體" w:hAnsi="標楷體" w:cs="標楷體"/>
      <w:szCs w:val="20"/>
    </w:rPr>
  </w:style>
  <w:style w:type="paragraph" w:customStyle="1" w:styleId="ac">
    <w:name w:val="一"/>
    <w:basedOn w:val="Standard"/>
    <w:pPr>
      <w:spacing w:line="400" w:lineRule="exact"/>
      <w:ind w:left="560" w:hanging="560"/>
      <w:jc w:val="both"/>
      <w:textAlignment w:val="center"/>
    </w:pPr>
    <w:rPr>
      <w:rFonts w:eastAsia="標楷體"/>
      <w:sz w:val="28"/>
    </w:rPr>
  </w:style>
  <w:style w:type="paragraph" w:customStyle="1" w:styleId="ad">
    <w:name w:val="法律條"/>
    <w:basedOn w:val="HTML"/>
    <w:pPr>
      <w:ind w:left="840" w:hanging="840"/>
    </w:pPr>
    <w:rPr>
      <w:rFonts w:ascii="標楷體" w:eastAsia="標楷體" w:hAnsi="標楷體" w:cs="新細明體, PMingLiU"/>
      <w:sz w:val="28"/>
      <w:szCs w:val="20"/>
    </w:rPr>
  </w:style>
  <w:style w:type="paragraph" w:styleId="30">
    <w:name w:val="Body Text 3"/>
    <w:basedOn w:val="Standard"/>
    <w:pPr>
      <w:spacing w:line="320" w:lineRule="exact"/>
      <w:jc w:val="both"/>
    </w:pPr>
    <w:rPr>
      <w:rFonts w:ascii="新細明體, PMingLiU" w:hAnsi="新細明體, PMingLiU" w:cs="新細明體, PMingLiU"/>
      <w:sz w:val="20"/>
      <w:szCs w:val="20"/>
    </w:rPr>
  </w:style>
  <w:style w:type="paragraph" w:customStyle="1" w:styleId="456">
    <w:name w:val="456"/>
    <w:basedOn w:val="Standard"/>
    <w:pPr>
      <w:tabs>
        <w:tab w:val="left" w:pos="12480"/>
      </w:tabs>
      <w:spacing w:line="300" w:lineRule="exact"/>
      <w:ind w:left="6240" w:hanging="6240"/>
      <w:jc w:val="both"/>
    </w:pPr>
    <w:rPr>
      <w:rFonts w:ascii="標楷體" w:eastAsia="標楷體" w:hAnsi="標楷體" w:cs="標楷體"/>
      <w:b/>
      <w:sz w:val="20"/>
    </w:rPr>
  </w:style>
  <w:style w:type="paragraph" w:customStyle="1" w:styleId="789">
    <w:name w:val="789"/>
    <w:basedOn w:val="Standard"/>
    <w:pPr>
      <w:tabs>
        <w:tab w:val="left" w:pos="12480"/>
      </w:tabs>
      <w:spacing w:line="300" w:lineRule="exact"/>
      <w:ind w:left="6240" w:hanging="6240"/>
      <w:jc w:val="both"/>
    </w:pPr>
    <w:rPr>
      <w:rFonts w:ascii="標楷體" w:eastAsia="標楷體" w:hAnsi="標楷體" w:cs="標楷體"/>
      <w:b/>
      <w:sz w:val="20"/>
    </w:rPr>
  </w:style>
  <w:style w:type="paragraph" w:styleId="ae">
    <w:name w:val="List Continue"/>
    <w:basedOn w:val="Standard"/>
    <w:pPr>
      <w:spacing w:after="120"/>
      <w:ind w:left="480"/>
    </w:pPr>
  </w:style>
  <w:style w:type="paragraph" w:customStyle="1" w:styleId="Default">
    <w:name w:val="Default"/>
    <w:pPr>
      <w:suppressAutoHyphens/>
      <w:autoSpaceDE w:val="0"/>
    </w:pPr>
    <w:rPr>
      <w:rFonts w:ascii="標楷體" w:eastAsia="標楷體" w:hAnsi="標楷體" w:cs="標楷體"/>
      <w:color w:val="000000"/>
      <w:lang w:bidi="ar-SA"/>
    </w:rPr>
  </w:style>
  <w:style w:type="paragraph" w:customStyle="1" w:styleId="af">
    <w:name w:val="字元"/>
    <w:basedOn w:val="Standard"/>
    <w:pPr>
      <w:widowControl/>
    </w:pPr>
    <w:rPr>
      <w:rFonts w:ascii="Arial" w:eastAsia="Arial" w:hAnsi="Arial" w:cs="Arial"/>
      <w:sz w:val="22"/>
      <w:szCs w:val="22"/>
      <w:lang w:val="en-AU"/>
    </w:rPr>
  </w:style>
  <w:style w:type="paragraph" w:customStyle="1" w:styleId="af0">
    <w:name w:val="字元"/>
    <w:basedOn w:val="Standard"/>
    <w:pPr>
      <w:widowControl/>
    </w:pPr>
    <w:rPr>
      <w:rFonts w:ascii="Arial" w:eastAsia="Times New Roman" w:hAnsi="Arial" w:cs="Arial"/>
      <w:sz w:val="22"/>
      <w:szCs w:val="22"/>
      <w:lang w:val="en-AU"/>
    </w:rPr>
  </w:style>
  <w:style w:type="paragraph" w:customStyle="1" w:styleId="af1">
    <w:name w:val="主旨"/>
    <w:basedOn w:val="Standard"/>
    <w:pPr>
      <w:snapToGrid w:val="0"/>
      <w:jc w:val="both"/>
    </w:pPr>
    <w:rPr>
      <w:rFonts w:eastAsia="標楷體"/>
      <w:sz w:val="32"/>
      <w:szCs w:val="20"/>
    </w:rPr>
  </w:style>
  <w:style w:type="paragraph" w:customStyle="1" w:styleId="1">
    <w:name w:val="字元 字元1 字元"/>
    <w:basedOn w:val="Standard"/>
    <w:pPr>
      <w:widowControl/>
      <w:spacing w:after="160" w:line="240" w:lineRule="exact"/>
    </w:pPr>
    <w:rPr>
      <w:rFonts w:ascii="Verdana" w:eastAsia="Verdana" w:hAnsi="Verdana" w:cs="Verdana"/>
      <w:sz w:val="20"/>
      <w:szCs w:val="20"/>
    </w:rPr>
  </w:style>
  <w:style w:type="paragraph" w:customStyle="1" w:styleId="af2">
    <w:name w:val="條文"/>
    <w:basedOn w:val="Standard"/>
    <w:pPr>
      <w:wordWrap w:val="0"/>
      <w:snapToGrid w:val="0"/>
      <w:spacing w:line="324" w:lineRule="auto"/>
      <w:ind w:left="57" w:right="57"/>
      <w:jc w:val="both"/>
    </w:pPr>
    <w:rPr>
      <w:rFonts w:ascii="標楷體" w:eastAsia="標楷體" w:hAnsi="標楷體" w:cs="Garamond"/>
      <w:sz w:val="28"/>
      <w:szCs w:val="20"/>
    </w:rPr>
  </w:style>
  <w:style w:type="paragraph" w:styleId="af3">
    <w:name w:val="Block Text"/>
    <w:basedOn w:val="Standard"/>
    <w:pPr>
      <w:spacing w:after="120"/>
      <w:ind w:left="1440" w:right="1440"/>
    </w:pPr>
  </w:style>
  <w:style w:type="paragraph" w:customStyle="1" w:styleId="af4">
    <w:name w:val="前項"/>
    <w:basedOn w:val="af3"/>
    <w:pPr>
      <w:snapToGrid w:val="0"/>
      <w:spacing w:after="0" w:line="324" w:lineRule="auto"/>
      <w:ind w:left="1276" w:right="57" w:firstLine="284"/>
      <w:jc w:val="both"/>
    </w:pPr>
    <w:rPr>
      <w:rFonts w:eastAsia="標楷體" w:cs="Garamond"/>
      <w:sz w:val="28"/>
      <w:szCs w:val="20"/>
    </w:rPr>
  </w:style>
  <w:style w:type="paragraph" w:customStyle="1" w:styleId="af5">
    <w:name w:val="說明一"/>
    <w:basedOn w:val="Standard"/>
    <w:pPr>
      <w:snapToGrid w:val="0"/>
      <w:spacing w:line="324" w:lineRule="auto"/>
      <w:ind w:left="624" w:right="57" w:hanging="567"/>
      <w:jc w:val="both"/>
    </w:pPr>
    <w:rPr>
      <w:rFonts w:eastAsia="標楷體" w:cs="Garamond"/>
      <w:sz w:val="28"/>
      <w:szCs w:val="20"/>
    </w:rPr>
  </w:style>
  <w:style w:type="paragraph" w:customStyle="1" w:styleId="af6">
    <w:name w:val="全銜"/>
    <w:basedOn w:val="Standard"/>
    <w:rPr>
      <w:rFonts w:ascii="標楷體" w:eastAsia="標楷體" w:hAnsi="標楷體" w:cs="標楷體"/>
      <w:sz w:val="40"/>
      <w:szCs w:val="40"/>
    </w:rPr>
  </w:style>
  <w:style w:type="paragraph" w:customStyle="1" w:styleId="af7">
    <w:name w:val="發文日期"/>
    <w:basedOn w:val="Standard"/>
    <w:pPr>
      <w:snapToGrid w:val="0"/>
    </w:pPr>
    <w:rPr>
      <w:rFonts w:ascii="標楷體" w:eastAsia="標楷體" w:hAnsi="標楷體" w:cs="標楷體"/>
    </w:rPr>
  </w:style>
  <w:style w:type="paragraph" w:customStyle="1" w:styleId="af8">
    <w:name w:val="發文字號"/>
    <w:basedOn w:val="Standard"/>
    <w:pPr>
      <w:snapToGrid w:val="0"/>
    </w:pPr>
    <w:rPr>
      <w:rFonts w:ascii="標楷體" w:eastAsia="標楷體" w:hAnsi="標楷體" w:cs="標楷體"/>
    </w:rPr>
  </w:style>
  <w:style w:type="paragraph" w:customStyle="1" w:styleId="af9">
    <w:name w:val="附件"/>
    <w:basedOn w:val="Standard"/>
    <w:pPr>
      <w:snapToGrid w:val="0"/>
      <w:ind w:left="672" w:hanging="672"/>
    </w:pPr>
    <w:rPr>
      <w:rFonts w:ascii="標楷體" w:eastAsia="標楷體" w:hAnsi="標楷體" w:cs="標楷體"/>
    </w:rPr>
  </w:style>
  <w:style w:type="paragraph" w:customStyle="1" w:styleId="afa">
    <w:name w:val="保密警語"/>
    <w:basedOn w:val="Textbody"/>
    <w:pPr>
      <w:snapToGrid w:val="0"/>
      <w:spacing w:line="240" w:lineRule="atLeast"/>
      <w:jc w:val="both"/>
    </w:pPr>
    <w:rPr>
      <w:color w:val="FF0000"/>
      <w:sz w:val="20"/>
    </w:rPr>
  </w:style>
  <w:style w:type="paragraph" w:customStyle="1" w:styleId="afb">
    <w:name w:val="條文一"/>
    <w:basedOn w:val="Standard"/>
    <w:pPr>
      <w:ind w:left="1020" w:hanging="340"/>
      <w:jc w:val="both"/>
    </w:pPr>
    <w:rPr>
      <w:rFonts w:ascii="標楷體" w:eastAsia="標楷體" w:hAnsi="標楷體" w:cs="標楷體"/>
      <w:sz w:val="32"/>
      <w:szCs w:val="20"/>
    </w:rPr>
  </w:style>
  <w:style w:type="paragraph" w:customStyle="1" w:styleId="afc">
    <w:name w:val="表格文字"/>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400" w:lineRule="exact"/>
    </w:pPr>
    <w:rPr>
      <w:rFonts w:eastAsia="細明體, MingLiU"/>
      <w:color w:val="000000"/>
      <w:szCs w:val="20"/>
    </w:rPr>
  </w:style>
  <w:style w:type="paragraph" w:customStyle="1" w:styleId="afd">
    <w:name w:val="主標題"/>
    <w:basedOn w:val="Standard"/>
    <w:pPr>
      <w:wordWrap w:val="0"/>
      <w:overflowPunct w:val="0"/>
      <w:spacing w:line="480" w:lineRule="exact"/>
    </w:pPr>
    <w:rPr>
      <w:rFonts w:eastAsia="標楷體"/>
      <w:b/>
      <w:sz w:val="36"/>
      <w:szCs w:val="20"/>
    </w:rPr>
  </w:style>
  <w:style w:type="paragraph" w:customStyle="1" w:styleId="afe">
    <w:name w:val="次標題"/>
    <w:basedOn w:val="Standard"/>
    <w:pPr>
      <w:wordWrap w:val="0"/>
      <w:overflowPunct w:val="0"/>
      <w:spacing w:line="440" w:lineRule="exact"/>
      <w:ind w:left="100"/>
    </w:pPr>
    <w:rPr>
      <w:rFonts w:ascii="華康公文系統字型, 新細明體" w:eastAsia="標楷體" w:hAnsi="華康公文系統字型, 新細明體" w:cs="華康公文系統字型, 新細明體"/>
      <w:color w:val="000000"/>
      <w:sz w:val="28"/>
      <w:szCs w:val="20"/>
    </w:rPr>
  </w:style>
  <w:style w:type="paragraph" w:customStyle="1" w:styleId="aff">
    <w:name w:val="次二"/>
    <w:basedOn w:val="Standard"/>
    <w:pPr>
      <w:wordWrap w:val="0"/>
      <w:overflowPunct w:val="0"/>
      <w:spacing w:line="440" w:lineRule="exact"/>
      <w:ind w:left="300" w:firstLine="200"/>
    </w:pPr>
    <w:rPr>
      <w:rFonts w:ascii="標楷體" w:eastAsia="標楷體" w:hAnsi="標楷體" w:cs="標楷體"/>
      <w:color w:val="000000"/>
      <w:sz w:val="28"/>
      <w:szCs w:val="28"/>
    </w:rPr>
  </w:style>
  <w:style w:type="paragraph" w:customStyle="1" w:styleId="aff0">
    <w:name w:val="次一"/>
    <w:basedOn w:val="Standard"/>
    <w:pPr>
      <w:spacing w:line="360" w:lineRule="exact"/>
      <w:ind w:left="700" w:hanging="300"/>
    </w:pPr>
    <w:rPr>
      <w:rFonts w:ascii="標楷體" w:eastAsia="標楷體" w:hAnsi="標楷體" w:cs="標楷體"/>
      <w:color w:val="000000"/>
      <w:sz w:val="28"/>
      <w:szCs w:val="28"/>
    </w:rPr>
  </w:style>
  <w:style w:type="paragraph" w:styleId="aff1">
    <w:name w:val="List Paragraph"/>
    <w:basedOn w:val="Standard"/>
    <w:pPr>
      <w:ind w:left="480"/>
    </w:pPr>
    <w:rPr>
      <w:szCs w:val="20"/>
    </w:rPr>
  </w:style>
  <w:style w:type="paragraph" w:styleId="aff2">
    <w:name w:val="Plain Text"/>
    <w:basedOn w:val="Standard"/>
    <w:pPr>
      <w:spacing w:line="360" w:lineRule="atLeast"/>
    </w:pPr>
    <w:rPr>
      <w:rFonts w:ascii="細明體, MingLiU" w:eastAsia="細明體, MingLiU" w:hAnsi="細明體, MingLiU" w:cs="Courier New"/>
      <w:szCs w:val="20"/>
    </w:rPr>
  </w:style>
  <w:style w:type="paragraph" w:customStyle="1" w:styleId="aff3">
    <w:name w:val="a"/>
    <w:basedOn w:val="Standard"/>
    <w:pPr>
      <w:widowControl/>
      <w:spacing w:before="280" w:after="280"/>
    </w:pPr>
    <w:rPr>
      <w:rFonts w:ascii="新細明體, PMingLiU" w:hAnsi="新細明體, PMingLiU" w:cs="新細明體, PMingLiU"/>
      <w:color w:val="000080"/>
    </w:rPr>
  </w:style>
  <w:style w:type="paragraph" w:customStyle="1" w:styleId="Footnote">
    <w:name w:val="Footnote"/>
    <w:basedOn w:val="Standard"/>
    <w:pPr>
      <w:snapToGrid w:val="0"/>
    </w:pPr>
    <w:rPr>
      <w:sz w:val="20"/>
      <w:szCs w:val="20"/>
    </w:rPr>
  </w:style>
  <w:style w:type="paragraph" w:customStyle="1" w:styleId="Standarduser">
    <w:name w:val="Standard (user)"/>
    <w:pPr>
      <w:suppressAutoHyphens/>
    </w:pPr>
    <w:rPr>
      <w:rFonts w:ascii="Times New Roman" w:eastAsia="新細明體, PMingLiU" w:hAnsi="Times New Roman" w:cs="Times New Roman"/>
      <w:lang w:bidi="ar-SA"/>
    </w:rPr>
  </w:style>
  <w:style w:type="paragraph" w:customStyle="1" w:styleId="Headinguser">
    <w:name w:val="Heading (user)"/>
    <w:basedOn w:val="Standarduser"/>
    <w:next w:val="Standard"/>
    <w:pPr>
      <w:keepNext/>
      <w:spacing w:before="240" w:after="120"/>
    </w:pPr>
    <w:rPr>
      <w:rFonts w:ascii="Liberation Sans" w:eastAsia="微軟正黑體" w:hAnsi="Liberation Sans" w:cs="Mangal"/>
      <w:sz w:val="28"/>
      <w:szCs w:val="28"/>
    </w:rPr>
  </w:style>
  <w:style w:type="paragraph" w:styleId="aff4">
    <w:name w:val="Balloon Text"/>
    <w:basedOn w:val="Standard"/>
    <w:rPr>
      <w:rFonts w:ascii="Calibri Light" w:eastAsia="Calibri Light" w:hAnsi="Calibri Light" w:cs="Calibri Light"/>
      <w:sz w:val="18"/>
      <w:szCs w:val="18"/>
    </w:rPr>
  </w:style>
  <w:style w:type="paragraph" w:customStyle="1" w:styleId="cjk">
    <w:name w:val="cjk"/>
    <w:basedOn w:val="Standard"/>
    <w:pPr>
      <w:widowControl/>
      <w:spacing w:before="280"/>
      <w:jc w:val="both"/>
    </w:pPr>
    <w:rPr>
      <w:rFonts w:ascii="新細明體, PMingLiU" w:hAnsi="新細明體, PMingLiU" w:cs="新細明體, PMingLiU"/>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lang w:val="en-U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華康儷粗黑" w:eastAsia="華康儷粗黑" w:hAnsi="華康儷粗黑" w:cs="Times New Roman"/>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bCs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position w:val="0"/>
      <w:vertAlign w:val="baseline"/>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styleId="aff5">
    <w:name w:val="page number"/>
    <w:basedOn w:val="a0"/>
  </w:style>
  <w:style w:type="character" w:customStyle="1" w:styleId="dialogtext1">
    <w:name w:val="dialog_text1"/>
    <w:rPr>
      <w:rFonts w:ascii="sөũ, 'Times New Roman'" w:eastAsia="sөũ, 'Times New Roman'" w:hAnsi="sөũ, 'Times New Roman'" w:cs="sөũ, 'Times New Roman'"/>
      <w:color w:val="000000"/>
      <w:sz w:val="24"/>
      <w:szCs w:val="24"/>
    </w:rPr>
  </w:style>
  <w:style w:type="character" w:customStyle="1" w:styleId="highlight">
    <w:name w:val="highlight"/>
    <w:basedOn w:val="a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StrongEmphasis">
    <w:name w:val="Strong Emphasis"/>
    <w:rPr>
      <w:b/>
      <w:bCs/>
    </w:rPr>
  </w:style>
  <w:style w:type="character" w:customStyle="1" w:styleId="postbody1">
    <w:name w:val="postbody1"/>
    <w:rPr>
      <w:sz w:val="18"/>
      <w:szCs w:val="18"/>
    </w:rPr>
  </w:style>
  <w:style w:type="character" w:customStyle="1" w:styleId="f121">
    <w:name w:val="f121"/>
    <w:rPr>
      <w:rFonts w:ascii="細明體, MingLiU" w:eastAsia="細明體, MingLiU" w:hAnsi="細明體, MingLiU" w:cs="細明體, MingLiU"/>
      <w:sz w:val="24"/>
      <w:szCs w:val="24"/>
    </w:rPr>
  </w:style>
  <w:style w:type="character" w:styleId="aff6">
    <w:name w:val="Emphasis"/>
    <w:rPr>
      <w:i/>
      <w:iCs/>
    </w:rPr>
  </w:style>
  <w:style w:type="character" w:customStyle="1" w:styleId="apple-converted-space">
    <w:name w:val="apple-converted-space"/>
  </w:style>
  <w:style w:type="character" w:customStyle="1" w:styleId="aff7">
    <w:name w:val="註解方塊文字 字元"/>
    <w:rPr>
      <w:rFonts w:ascii="Calibri Light" w:eastAsia="Calibri Light" w:hAnsi="Calibri Light" w:cs="Calibri Light"/>
      <w:kern w:val="3"/>
      <w:sz w:val="18"/>
      <w:szCs w:val="18"/>
    </w:rPr>
  </w:style>
  <w:style w:type="character" w:customStyle="1" w:styleId="aff8">
    <w:name w:val="頁尾 字元"/>
    <w:rPr>
      <w:kern w:val="3"/>
    </w:rPr>
  </w:style>
  <w:style w:type="character" w:customStyle="1" w:styleId="aff9">
    <w:name w:val="日期 字元"/>
    <w:rPr>
      <w:rFonts w:ascii="標楷體" w:eastAsia="標楷體" w:hAnsi="標楷體" w:cs="標楷體"/>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外籍配偶照顧輔導基金補助作業要點部分規定修正規定</dc:title>
  <dc:creator>admin</dc:creator>
  <cp:lastModifiedBy>Teacher</cp:lastModifiedBy>
  <cp:revision>3</cp:revision>
  <cp:lastPrinted>2022-05-05T15:26:00Z</cp:lastPrinted>
  <dcterms:created xsi:type="dcterms:W3CDTF">2022-05-20T05:33:00Z</dcterms:created>
  <dcterms:modified xsi:type="dcterms:W3CDTF">2022-05-20T05:33:00Z</dcterms:modified>
</cp:coreProperties>
</file>