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362" w:rsidRDefault="00E11906">
      <w:pPr>
        <w:pStyle w:val="Standard"/>
        <w:snapToGrid w:val="0"/>
        <w:spacing w:line="400" w:lineRule="exact"/>
        <w:ind w:right="-142"/>
        <w:rPr>
          <w:rFonts w:ascii="標楷體" w:eastAsia="標楷體" w:hAnsi="標楷體" w:cs="標楷體, 微軟正黑體"/>
          <w:sz w:val="36"/>
          <w:szCs w:val="36"/>
        </w:rPr>
      </w:pPr>
      <w:bookmarkStart w:id="0" w:name="_GoBack"/>
      <w:bookmarkEnd w:id="0"/>
      <w:r>
        <w:rPr>
          <w:rFonts w:ascii="標楷體" w:eastAsia="標楷體" w:hAnsi="標楷體" w:cs="標楷體, 微軟正黑體"/>
          <w:sz w:val="36"/>
          <w:szCs w:val="36"/>
        </w:rPr>
        <w:t>高級中等以下學校輔導人員職前基礎培訓及在職進修實施要點</w:t>
      </w:r>
    </w:p>
    <w:p w:rsidR="00FF0362" w:rsidRDefault="00E11906">
      <w:pPr>
        <w:pStyle w:val="Standard"/>
        <w:spacing w:line="400" w:lineRule="exact"/>
        <w:ind w:left="566" w:hanging="566"/>
        <w:rPr>
          <w:rFonts w:ascii="標楷體" w:eastAsia="標楷體" w:hAnsi="標楷體" w:cs="標楷體, 微軟正黑體"/>
          <w:sz w:val="28"/>
          <w:szCs w:val="28"/>
        </w:rPr>
      </w:pPr>
      <w:r>
        <w:rPr>
          <w:rFonts w:ascii="標楷體" w:eastAsia="標楷體" w:hAnsi="標楷體" w:cs="標楷體, 微軟正黑體"/>
          <w:sz w:val="28"/>
          <w:szCs w:val="28"/>
        </w:rPr>
        <w:t>一、教育部</w:t>
      </w:r>
      <w:r>
        <w:rPr>
          <w:rFonts w:ascii="標楷體" w:eastAsia="標楷體" w:hAnsi="標楷體" w:cs="標楷體, 微軟正黑體"/>
          <w:sz w:val="28"/>
          <w:szCs w:val="28"/>
        </w:rPr>
        <w:t>(</w:t>
      </w:r>
      <w:r>
        <w:rPr>
          <w:rFonts w:ascii="標楷體" w:eastAsia="標楷體" w:hAnsi="標楷體" w:cs="標楷體, 微軟正黑體"/>
          <w:sz w:val="28"/>
          <w:szCs w:val="28"/>
        </w:rPr>
        <w:t>以下簡稱本部</w:t>
      </w:r>
      <w:r>
        <w:rPr>
          <w:rFonts w:ascii="標楷體" w:eastAsia="標楷體" w:hAnsi="標楷體" w:cs="標楷體, 微軟正黑體"/>
          <w:sz w:val="28"/>
          <w:szCs w:val="28"/>
        </w:rPr>
        <w:t>)</w:t>
      </w:r>
      <w:r>
        <w:rPr>
          <w:rFonts w:ascii="標楷體" w:eastAsia="標楷體" w:hAnsi="標楷體" w:cs="標楷體, 微軟正黑體"/>
          <w:sz w:val="28"/>
          <w:szCs w:val="28"/>
        </w:rPr>
        <w:t>為提升輔導人員專業知能，協助各該主管機關、高級中等以下學校</w:t>
      </w:r>
      <w:r>
        <w:rPr>
          <w:rFonts w:ascii="標楷體" w:eastAsia="標楷體" w:hAnsi="標楷體" w:cs="標楷體, 微軟正黑體"/>
          <w:sz w:val="28"/>
          <w:szCs w:val="28"/>
        </w:rPr>
        <w:t>(</w:t>
      </w:r>
      <w:r>
        <w:rPr>
          <w:rFonts w:ascii="標楷體" w:eastAsia="標楷體" w:hAnsi="標楷體" w:cs="標楷體, 微軟正黑體"/>
          <w:sz w:val="28"/>
          <w:szCs w:val="28"/>
        </w:rPr>
        <w:t>以下簡稱學校</w:t>
      </w:r>
      <w:r>
        <w:rPr>
          <w:rFonts w:ascii="標楷體" w:eastAsia="標楷體" w:hAnsi="標楷體" w:cs="標楷體, 微軟正黑體"/>
          <w:sz w:val="28"/>
          <w:szCs w:val="28"/>
        </w:rPr>
        <w:t>)</w:t>
      </w:r>
      <w:r>
        <w:rPr>
          <w:rFonts w:ascii="標楷體" w:eastAsia="標楷體" w:hAnsi="標楷體" w:cs="標楷體, 微軟正黑體"/>
          <w:sz w:val="28"/>
          <w:szCs w:val="28"/>
        </w:rPr>
        <w:t>依學生輔導法</w:t>
      </w:r>
      <w:r>
        <w:rPr>
          <w:rFonts w:ascii="標楷體" w:eastAsia="標楷體" w:hAnsi="標楷體" w:cs="標楷體, 微軟正黑體"/>
          <w:sz w:val="28"/>
          <w:szCs w:val="28"/>
        </w:rPr>
        <w:t>(</w:t>
      </w:r>
      <w:r>
        <w:rPr>
          <w:rFonts w:ascii="標楷體" w:eastAsia="標楷體" w:hAnsi="標楷體" w:cs="標楷體, 微軟正黑體"/>
          <w:sz w:val="28"/>
          <w:szCs w:val="28"/>
        </w:rPr>
        <w:t>以下簡稱本法</w:t>
      </w:r>
      <w:r>
        <w:rPr>
          <w:rFonts w:ascii="標楷體" w:eastAsia="標楷體" w:hAnsi="標楷體" w:cs="標楷體, 微軟正黑體"/>
          <w:sz w:val="28"/>
          <w:szCs w:val="28"/>
        </w:rPr>
        <w:t>)</w:t>
      </w:r>
      <w:r>
        <w:rPr>
          <w:rFonts w:ascii="標楷體" w:eastAsia="標楷體" w:hAnsi="標楷體" w:cs="標楷體, 微軟正黑體"/>
          <w:sz w:val="28"/>
          <w:szCs w:val="28"/>
        </w:rPr>
        <w:t>第十四條規定，辦理輔導人員之職前基礎培訓及在職進修，特訂定本要點。</w:t>
      </w:r>
    </w:p>
    <w:p w:rsidR="00FF0362" w:rsidRDefault="00E11906">
      <w:pPr>
        <w:pStyle w:val="Standard"/>
        <w:spacing w:line="400" w:lineRule="exact"/>
        <w:ind w:left="566" w:hanging="566"/>
        <w:rPr>
          <w:rFonts w:ascii="標楷體" w:eastAsia="標楷體" w:hAnsi="標楷體" w:cs="標楷體, 微軟正黑體"/>
          <w:sz w:val="28"/>
          <w:szCs w:val="28"/>
        </w:rPr>
      </w:pPr>
      <w:r>
        <w:rPr>
          <w:rFonts w:ascii="標楷體" w:eastAsia="標楷體" w:hAnsi="標楷體" w:cs="標楷體, 微軟正黑體"/>
          <w:sz w:val="28"/>
          <w:szCs w:val="28"/>
        </w:rPr>
        <w:t>二、本要點之執行機關為本部國民及學前教育署。</w:t>
      </w:r>
    </w:p>
    <w:p w:rsidR="00FF0362" w:rsidRDefault="00E11906">
      <w:pPr>
        <w:pStyle w:val="Standard"/>
        <w:spacing w:line="400" w:lineRule="exact"/>
        <w:ind w:left="566" w:hanging="566"/>
        <w:rPr>
          <w:rFonts w:ascii="標楷體" w:eastAsia="標楷體" w:hAnsi="標楷體" w:cs="標楷體, 微軟正黑體"/>
          <w:sz w:val="28"/>
          <w:szCs w:val="28"/>
        </w:rPr>
      </w:pPr>
      <w:r>
        <w:rPr>
          <w:rFonts w:ascii="標楷體" w:eastAsia="標楷體" w:hAnsi="標楷體" w:cs="標楷體, 微軟正黑體"/>
          <w:sz w:val="28"/>
          <w:szCs w:val="28"/>
        </w:rPr>
        <w:t>三、本要點所稱輔導人員，指本法第十四條所定於學校從事學生輔導工作之輔導主任或組長、輔導教師及專業輔導人員。</w:t>
      </w:r>
    </w:p>
    <w:p w:rsidR="00FF0362" w:rsidRDefault="00E11906">
      <w:pPr>
        <w:pStyle w:val="Standard"/>
        <w:spacing w:line="400" w:lineRule="exact"/>
        <w:ind w:left="566" w:hanging="566"/>
        <w:rPr>
          <w:rFonts w:ascii="標楷體" w:eastAsia="標楷體" w:hAnsi="標楷體" w:cs="標楷體, 微軟正黑體"/>
          <w:sz w:val="28"/>
          <w:szCs w:val="28"/>
        </w:rPr>
      </w:pPr>
      <w:r>
        <w:rPr>
          <w:rFonts w:ascii="標楷體" w:eastAsia="標楷體" w:hAnsi="標楷體" w:cs="標楷體, 微軟正黑體"/>
          <w:sz w:val="28"/>
          <w:szCs w:val="28"/>
        </w:rPr>
        <w:t>四、各該主管機關應定期辦理初任或初聘輔導人員至少四十小時之職前基礎培訓；其培訓內容，得參照初任或初聘輔導人員職前基礎培訓四十小時訓練課程（附件一）辦理。</w:t>
      </w:r>
    </w:p>
    <w:p w:rsidR="00FF0362" w:rsidRDefault="00E11906">
      <w:pPr>
        <w:pStyle w:val="Standard"/>
        <w:spacing w:line="400" w:lineRule="exact"/>
        <w:ind w:left="566" w:firstLine="566"/>
        <w:rPr>
          <w:rFonts w:ascii="標楷體" w:eastAsia="標楷體" w:hAnsi="標楷體" w:cs="標楷體, 微軟正黑體"/>
          <w:sz w:val="28"/>
          <w:szCs w:val="28"/>
        </w:rPr>
      </w:pPr>
      <w:r>
        <w:rPr>
          <w:rFonts w:ascii="標楷體" w:eastAsia="標楷體" w:hAnsi="標楷體" w:cs="標楷體, 微軟正黑體"/>
          <w:sz w:val="28"/>
          <w:szCs w:val="28"/>
        </w:rPr>
        <w:t>輔導人員每年應接受在職進修課程至少十八小時；其培訓內容，得參照輔導人員在職進修十八小時訓練課程（附件二）辦理。但初任輔導人員依前項規定於當年度已完成四十小時以上之職前基礎培訓課程者，得抵免之。</w:t>
      </w:r>
    </w:p>
    <w:p w:rsidR="00FF0362" w:rsidRDefault="00E11906">
      <w:pPr>
        <w:pStyle w:val="Standard"/>
        <w:spacing w:line="400" w:lineRule="exact"/>
        <w:ind w:left="566" w:hanging="566"/>
        <w:rPr>
          <w:rFonts w:ascii="標楷體" w:eastAsia="標楷體" w:hAnsi="標楷體" w:cs="標楷體, 微軟正黑體"/>
          <w:sz w:val="28"/>
          <w:szCs w:val="28"/>
        </w:rPr>
      </w:pPr>
      <w:r>
        <w:rPr>
          <w:rFonts w:ascii="標楷體" w:eastAsia="標楷體" w:hAnsi="標楷體" w:cs="標楷體, 微軟正黑體"/>
          <w:sz w:val="28"/>
          <w:szCs w:val="28"/>
        </w:rPr>
        <w:t>五、各該主管機關應妥善規劃初任或初聘輔導人員職前基礎培訓</w:t>
      </w:r>
      <w:r>
        <w:rPr>
          <w:rFonts w:ascii="標楷體" w:eastAsia="標楷體" w:hAnsi="標楷體" w:cs="標楷體, 微軟正黑體"/>
          <w:sz w:val="28"/>
          <w:szCs w:val="28"/>
        </w:rPr>
        <w:t>，並得結合學生輔導諮商中心、家庭教育中心、少年輔導委員會及其他相關機關</w:t>
      </w:r>
      <w:r>
        <w:rPr>
          <w:rFonts w:ascii="標楷體" w:eastAsia="標楷體" w:hAnsi="標楷體" w:cs="標楷體, 微軟正黑體"/>
          <w:sz w:val="28"/>
          <w:szCs w:val="28"/>
        </w:rPr>
        <w:t>(</w:t>
      </w:r>
      <w:r>
        <w:rPr>
          <w:rFonts w:ascii="標楷體" w:eastAsia="標楷體" w:hAnsi="標楷體" w:cs="標楷體, 微軟正黑體"/>
          <w:sz w:val="28"/>
          <w:szCs w:val="28"/>
        </w:rPr>
        <w:t>單位</w:t>
      </w:r>
      <w:r>
        <w:rPr>
          <w:rFonts w:ascii="標楷體" w:eastAsia="標楷體" w:hAnsi="標楷體" w:cs="標楷體, 微軟正黑體"/>
          <w:sz w:val="28"/>
          <w:szCs w:val="28"/>
        </w:rPr>
        <w:t>)</w:t>
      </w:r>
      <w:r>
        <w:rPr>
          <w:rFonts w:ascii="標楷體" w:eastAsia="標楷體" w:hAnsi="標楷體" w:cs="標楷體, 微軟正黑體"/>
          <w:sz w:val="28"/>
          <w:szCs w:val="28"/>
        </w:rPr>
        <w:t>資源。</w:t>
      </w:r>
    </w:p>
    <w:p w:rsidR="00FF0362" w:rsidRDefault="00E11906">
      <w:pPr>
        <w:pStyle w:val="Standard"/>
        <w:spacing w:line="400" w:lineRule="exact"/>
        <w:ind w:left="566" w:firstLine="566"/>
        <w:rPr>
          <w:rFonts w:ascii="標楷體" w:eastAsia="標楷體" w:hAnsi="標楷體" w:cs="標楷體, 微軟正黑體"/>
          <w:sz w:val="28"/>
          <w:szCs w:val="28"/>
        </w:rPr>
      </w:pPr>
      <w:r>
        <w:rPr>
          <w:rFonts w:ascii="標楷體" w:eastAsia="標楷體" w:hAnsi="標楷體" w:cs="標楷體, 微軟正黑體"/>
          <w:sz w:val="28"/>
          <w:szCs w:val="28"/>
        </w:rPr>
        <w:t>學校應定期自行或聯合他校、學生輔導諮商中心、家庭教育中心、少年輔導委員會及其他相關機關</w:t>
      </w:r>
      <w:r>
        <w:rPr>
          <w:rFonts w:ascii="標楷體" w:eastAsia="標楷體" w:hAnsi="標楷體" w:cs="標楷體, 微軟正黑體"/>
          <w:sz w:val="28"/>
          <w:szCs w:val="28"/>
        </w:rPr>
        <w:t>(</w:t>
      </w:r>
      <w:r>
        <w:rPr>
          <w:rFonts w:ascii="標楷體" w:eastAsia="標楷體" w:hAnsi="標楷體" w:cs="標楷體, 微軟正黑體"/>
          <w:sz w:val="28"/>
          <w:szCs w:val="28"/>
        </w:rPr>
        <w:t>單位</w:t>
      </w:r>
      <w:r>
        <w:rPr>
          <w:rFonts w:ascii="標楷體" w:eastAsia="標楷體" w:hAnsi="標楷體" w:cs="標楷體, 微軟正黑體"/>
          <w:sz w:val="28"/>
          <w:szCs w:val="28"/>
        </w:rPr>
        <w:t>)</w:t>
      </w:r>
      <w:r>
        <w:rPr>
          <w:rFonts w:ascii="標楷體" w:eastAsia="標楷體" w:hAnsi="標楷體" w:cs="標楷體, 微軟正黑體"/>
          <w:sz w:val="28"/>
          <w:szCs w:val="28"/>
        </w:rPr>
        <w:t>資源，辦理輔導人員在職進修，並納入年度輔導工作計畫實施。</w:t>
      </w:r>
    </w:p>
    <w:p w:rsidR="00FF0362" w:rsidRDefault="00E11906">
      <w:pPr>
        <w:pStyle w:val="Standard"/>
        <w:spacing w:line="400" w:lineRule="exact"/>
        <w:ind w:left="566" w:hanging="566"/>
        <w:rPr>
          <w:rFonts w:ascii="標楷體" w:eastAsia="標楷體" w:hAnsi="標楷體" w:cs="標楷體, 微軟正黑體"/>
          <w:sz w:val="28"/>
          <w:szCs w:val="28"/>
        </w:rPr>
      </w:pPr>
      <w:r>
        <w:rPr>
          <w:rFonts w:ascii="標楷體" w:eastAsia="標楷體" w:hAnsi="標楷體" w:cs="標楷體, 微軟正黑體"/>
          <w:sz w:val="28"/>
          <w:szCs w:val="28"/>
        </w:rPr>
        <w:t>六、擔任輔導人員職前基礎培訓及在職進修課程之授課者，應符合下列各款資格之一：</w:t>
      </w:r>
    </w:p>
    <w:p w:rsidR="00FF0362" w:rsidRDefault="00E11906">
      <w:pPr>
        <w:pStyle w:val="Standard"/>
        <w:spacing w:line="400" w:lineRule="exact"/>
        <w:ind w:left="851" w:hanging="565"/>
        <w:rPr>
          <w:rFonts w:ascii="標楷體" w:eastAsia="標楷體" w:hAnsi="標楷體" w:cs="標楷體, 微軟正黑體"/>
          <w:sz w:val="28"/>
          <w:szCs w:val="28"/>
        </w:rPr>
      </w:pPr>
      <w:r>
        <w:rPr>
          <w:rFonts w:ascii="標楷體" w:eastAsia="標楷體" w:hAnsi="標楷體" w:cs="標楷體, 微軟正黑體"/>
          <w:sz w:val="28"/>
          <w:szCs w:val="28"/>
        </w:rPr>
        <w:t>(</w:t>
      </w:r>
      <w:r>
        <w:rPr>
          <w:rFonts w:ascii="標楷體" w:eastAsia="標楷體" w:hAnsi="標楷體" w:cs="標楷體, 微軟正黑體"/>
          <w:sz w:val="28"/>
          <w:szCs w:val="28"/>
        </w:rPr>
        <w:t>一</w:t>
      </w:r>
      <w:r>
        <w:rPr>
          <w:rFonts w:ascii="標楷體" w:eastAsia="標楷體" w:hAnsi="標楷體" w:cs="標楷體, 微軟正黑體"/>
          <w:sz w:val="28"/>
          <w:szCs w:val="28"/>
        </w:rPr>
        <w:t>)</w:t>
      </w:r>
      <w:r>
        <w:rPr>
          <w:rFonts w:ascii="標楷體" w:eastAsia="標楷體" w:hAnsi="標楷體" w:cs="標楷體, 微軟正黑體"/>
          <w:sz w:val="28"/>
          <w:szCs w:val="28"/>
        </w:rPr>
        <w:t>具有心理、醫學、社會工作、法律或其他相關學科之專長，或具專業執照、證照。</w:t>
      </w:r>
    </w:p>
    <w:p w:rsidR="00FF0362" w:rsidRDefault="00E11906">
      <w:pPr>
        <w:pStyle w:val="Standard"/>
        <w:spacing w:line="400" w:lineRule="exact"/>
        <w:ind w:left="569" w:hanging="283"/>
        <w:rPr>
          <w:rFonts w:ascii="標楷體" w:eastAsia="標楷體" w:hAnsi="標楷體" w:cs="標楷體, 微軟正黑體"/>
          <w:sz w:val="28"/>
          <w:szCs w:val="28"/>
        </w:rPr>
      </w:pPr>
      <w:r>
        <w:rPr>
          <w:rFonts w:ascii="標楷體" w:eastAsia="標楷體" w:hAnsi="標楷體" w:cs="標楷體, 微軟正黑體"/>
          <w:sz w:val="28"/>
          <w:szCs w:val="28"/>
        </w:rPr>
        <w:t>(</w:t>
      </w:r>
      <w:r>
        <w:rPr>
          <w:rFonts w:ascii="標楷體" w:eastAsia="標楷體" w:hAnsi="標楷體" w:cs="標楷體, 微軟正黑體"/>
          <w:sz w:val="28"/>
          <w:szCs w:val="28"/>
        </w:rPr>
        <w:t>二</w:t>
      </w:r>
      <w:r>
        <w:rPr>
          <w:rFonts w:ascii="標楷體" w:eastAsia="標楷體" w:hAnsi="標楷體" w:cs="標楷體, 微軟正黑體"/>
          <w:sz w:val="28"/>
          <w:szCs w:val="28"/>
        </w:rPr>
        <w:t>)</w:t>
      </w:r>
      <w:r>
        <w:rPr>
          <w:rFonts w:ascii="標楷體" w:eastAsia="標楷體" w:hAnsi="標楷體" w:cs="標楷體, 微軟正黑體"/>
          <w:sz w:val="28"/>
          <w:szCs w:val="28"/>
        </w:rPr>
        <w:t>具有大專校院相關系所講師以上證書或擔任相關職務。</w:t>
      </w:r>
    </w:p>
    <w:p w:rsidR="00FF0362" w:rsidRDefault="00E11906">
      <w:pPr>
        <w:pStyle w:val="Standard"/>
        <w:spacing w:line="400" w:lineRule="exact"/>
        <w:ind w:left="569" w:hanging="283"/>
        <w:rPr>
          <w:rFonts w:ascii="標楷體" w:eastAsia="標楷體" w:hAnsi="標楷體" w:cs="標楷體, 微軟正黑體"/>
          <w:sz w:val="28"/>
          <w:szCs w:val="28"/>
        </w:rPr>
      </w:pPr>
      <w:r>
        <w:rPr>
          <w:rFonts w:ascii="標楷體" w:eastAsia="標楷體" w:hAnsi="標楷體" w:cs="標楷體, 微軟正黑體"/>
          <w:sz w:val="28"/>
          <w:szCs w:val="28"/>
        </w:rPr>
        <w:t>(</w:t>
      </w:r>
      <w:r>
        <w:rPr>
          <w:rFonts w:ascii="標楷體" w:eastAsia="標楷體" w:hAnsi="標楷體" w:cs="標楷體, 微軟正黑體"/>
          <w:sz w:val="28"/>
          <w:szCs w:val="28"/>
        </w:rPr>
        <w:t>三</w:t>
      </w:r>
      <w:r>
        <w:rPr>
          <w:rFonts w:ascii="標楷體" w:eastAsia="標楷體" w:hAnsi="標楷體" w:cs="標楷體, 微軟正黑體"/>
          <w:sz w:val="28"/>
          <w:szCs w:val="28"/>
        </w:rPr>
        <w:t>)</w:t>
      </w:r>
      <w:r>
        <w:rPr>
          <w:rFonts w:ascii="標楷體" w:eastAsia="標楷體" w:hAnsi="標楷體" w:cs="標楷體, 微軟正黑體"/>
          <w:sz w:val="28"/>
          <w:szCs w:val="28"/>
        </w:rPr>
        <w:t>擔任學校輔導人員，且具五年以上輔導行政或實務工作資歷。</w:t>
      </w:r>
    </w:p>
    <w:p w:rsidR="00FF0362" w:rsidRDefault="00E11906">
      <w:pPr>
        <w:pStyle w:val="Standard"/>
        <w:spacing w:line="400" w:lineRule="exact"/>
        <w:ind w:left="566" w:firstLine="566"/>
        <w:rPr>
          <w:rFonts w:ascii="標楷體" w:eastAsia="標楷體" w:hAnsi="標楷體" w:cs="標楷體, 微軟正黑體"/>
          <w:sz w:val="28"/>
          <w:szCs w:val="28"/>
        </w:rPr>
      </w:pPr>
      <w:r>
        <w:rPr>
          <w:rFonts w:ascii="標楷體" w:eastAsia="標楷體" w:hAnsi="標楷體" w:cs="標楷體, 微軟正黑體"/>
          <w:sz w:val="28"/>
          <w:szCs w:val="28"/>
        </w:rPr>
        <w:t>各該主管機關及學校得視課程內容，邀請相關機關、機構或大專校院人員、教師授課。</w:t>
      </w:r>
    </w:p>
    <w:p w:rsidR="00FF0362" w:rsidRDefault="00E11906">
      <w:pPr>
        <w:pStyle w:val="Standard"/>
        <w:spacing w:line="400" w:lineRule="exact"/>
        <w:ind w:left="566" w:hanging="566"/>
        <w:rPr>
          <w:rFonts w:ascii="標楷體" w:eastAsia="標楷體" w:hAnsi="標楷體" w:cs="標楷體, 微軟正黑體"/>
          <w:sz w:val="28"/>
          <w:szCs w:val="28"/>
        </w:rPr>
      </w:pPr>
      <w:r>
        <w:rPr>
          <w:rFonts w:ascii="標楷體" w:eastAsia="標楷體" w:hAnsi="標楷體" w:cs="標楷體, 微軟正黑體"/>
          <w:sz w:val="28"/>
          <w:szCs w:val="28"/>
        </w:rPr>
        <w:t>七、輔導人員職前基礎培訓及在職進修課程，得以下列方式之一實施之：</w:t>
      </w:r>
    </w:p>
    <w:p w:rsidR="00FF0362" w:rsidRDefault="00E11906">
      <w:pPr>
        <w:pStyle w:val="Standard"/>
        <w:spacing w:line="400" w:lineRule="exact"/>
        <w:ind w:left="569" w:hanging="283"/>
        <w:rPr>
          <w:rFonts w:ascii="標楷體" w:eastAsia="標楷體" w:hAnsi="標楷體" w:cs="標楷體, 微軟正黑體"/>
          <w:sz w:val="28"/>
          <w:szCs w:val="28"/>
        </w:rPr>
      </w:pPr>
      <w:r>
        <w:rPr>
          <w:rFonts w:ascii="標楷體" w:eastAsia="標楷體" w:hAnsi="標楷體" w:cs="標楷體, 微軟正黑體"/>
          <w:sz w:val="28"/>
          <w:szCs w:val="28"/>
        </w:rPr>
        <w:t>(</w:t>
      </w:r>
      <w:r>
        <w:rPr>
          <w:rFonts w:ascii="標楷體" w:eastAsia="標楷體" w:hAnsi="標楷體" w:cs="標楷體, 微軟正黑體"/>
          <w:sz w:val="28"/>
          <w:szCs w:val="28"/>
        </w:rPr>
        <w:t>一</w:t>
      </w:r>
      <w:r>
        <w:rPr>
          <w:rFonts w:ascii="標楷體" w:eastAsia="標楷體" w:hAnsi="標楷體" w:cs="標楷體, 微軟正黑體"/>
          <w:sz w:val="28"/>
          <w:szCs w:val="28"/>
        </w:rPr>
        <w:t>)</w:t>
      </w:r>
      <w:r>
        <w:rPr>
          <w:rFonts w:ascii="標楷體" w:eastAsia="標楷體" w:hAnsi="標楷體" w:cs="標楷體, 微軟正黑體"/>
          <w:sz w:val="28"/>
          <w:szCs w:val="28"/>
        </w:rPr>
        <w:t>專題演講、座談或研討。</w:t>
      </w:r>
    </w:p>
    <w:p w:rsidR="00FF0362" w:rsidRDefault="00E11906">
      <w:pPr>
        <w:pStyle w:val="Standard"/>
        <w:spacing w:line="400" w:lineRule="exact"/>
        <w:ind w:left="569" w:hanging="283"/>
        <w:rPr>
          <w:rFonts w:ascii="標楷體" w:eastAsia="標楷體" w:hAnsi="標楷體" w:cs="標楷體, 微軟正黑體"/>
          <w:sz w:val="28"/>
          <w:szCs w:val="28"/>
        </w:rPr>
      </w:pPr>
      <w:r>
        <w:rPr>
          <w:rFonts w:ascii="標楷體" w:eastAsia="標楷體" w:hAnsi="標楷體" w:cs="標楷體, 微軟正黑體"/>
          <w:sz w:val="28"/>
          <w:szCs w:val="28"/>
        </w:rPr>
        <w:t>(</w:t>
      </w:r>
      <w:r>
        <w:rPr>
          <w:rFonts w:ascii="標楷體" w:eastAsia="標楷體" w:hAnsi="標楷體" w:cs="標楷體, 微軟正黑體"/>
          <w:sz w:val="28"/>
          <w:szCs w:val="28"/>
        </w:rPr>
        <w:t>二</w:t>
      </w:r>
      <w:r>
        <w:rPr>
          <w:rFonts w:ascii="標楷體" w:eastAsia="標楷體" w:hAnsi="標楷體" w:cs="標楷體, 微軟正黑體"/>
          <w:sz w:val="28"/>
          <w:szCs w:val="28"/>
        </w:rPr>
        <w:t>)</w:t>
      </w:r>
      <w:r>
        <w:rPr>
          <w:rFonts w:ascii="標楷體" w:eastAsia="標楷體" w:hAnsi="標楷體" w:cs="標楷體, 微軟正黑體"/>
          <w:sz w:val="28"/>
          <w:szCs w:val="28"/>
        </w:rPr>
        <w:t>個案研討或督導。</w:t>
      </w:r>
    </w:p>
    <w:p w:rsidR="00FF0362" w:rsidRDefault="00E11906">
      <w:pPr>
        <w:pStyle w:val="Standard"/>
        <w:spacing w:line="400" w:lineRule="exact"/>
        <w:ind w:left="569" w:hanging="283"/>
        <w:rPr>
          <w:rFonts w:ascii="標楷體" w:eastAsia="標楷體" w:hAnsi="標楷體" w:cs="標楷體, 微軟正黑體"/>
          <w:sz w:val="28"/>
          <w:szCs w:val="28"/>
        </w:rPr>
      </w:pPr>
      <w:r>
        <w:rPr>
          <w:rFonts w:ascii="標楷體" w:eastAsia="標楷體" w:hAnsi="標楷體" w:cs="標楷體, 微軟正黑體"/>
          <w:sz w:val="28"/>
          <w:szCs w:val="28"/>
        </w:rPr>
        <w:t>(</w:t>
      </w:r>
      <w:r>
        <w:rPr>
          <w:rFonts w:ascii="標楷體" w:eastAsia="標楷體" w:hAnsi="標楷體" w:cs="標楷體, 微軟正黑體"/>
          <w:sz w:val="28"/>
          <w:szCs w:val="28"/>
        </w:rPr>
        <w:t>三</w:t>
      </w:r>
      <w:r>
        <w:rPr>
          <w:rFonts w:ascii="標楷體" w:eastAsia="標楷體" w:hAnsi="標楷體" w:cs="標楷體, 微軟正黑體"/>
          <w:sz w:val="28"/>
          <w:szCs w:val="28"/>
        </w:rPr>
        <w:t>)</w:t>
      </w:r>
      <w:r>
        <w:rPr>
          <w:rFonts w:ascii="標楷體" w:eastAsia="標楷體" w:hAnsi="標楷體" w:cs="標楷體, 微軟正黑體"/>
          <w:sz w:val="28"/>
          <w:szCs w:val="28"/>
        </w:rPr>
        <w:t>實務演練。</w:t>
      </w:r>
    </w:p>
    <w:p w:rsidR="00FF0362" w:rsidRDefault="00E11906">
      <w:pPr>
        <w:pStyle w:val="Standard"/>
        <w:spacing w:line="400" w:lineRule="exact"/>
        <w:ind w:left="569" w:hanging="283"/>
        <w:rPr>
          <w:rFonts w:ascii="標楷體" w:eastAsia="標楷體" w:hAnsi="標楷體" w:cs="標楷體, 微軟正黑體"/>
          <w:sz w:val="28"/>
          <w:szCs w:val="28"/>
        </w:rPr>
      </w:pPr>
      <w:r>
        <w:rPr>
          <w:rFonts w:ascii="標楷體" w:eastAsia="標楷體" w:hAnsi="標楷體" w:cs="標楷體, 微軟正黑體"/>
          <w:sz w:val="28"/>
          <w:szCs w:val="28"/>
        </w:rPr>
        <w:t>(</w:t>
      </w:r>
      <w:r>
        <w:rPr>
          <w:rFonts w:ascii="標楷體" w:eastAsia="標楷體" w:hAnsi="標楷體" w:cs="標楷體, 微軟正黑體"/>
          <w:sz w:val="28"/>
          <w:szCs w:val="28"/>
        </w:rPr>
        <w:t>四</w:t>
      </w:r>
      <w:r>
        <w:rPr>
          <w:rFonts w:ascii="標楷體" w:eastAsia="標楷體" w:hAnsi="標楷體" w:cs="標楷體, 微軟正黑體"/>
          <w:sz w:val="28"/>
          <w:szCs w:val="28"/>
        </w:rPr>
        <w:t>)</w:t>
      </w:r>
      <w:r>
        <w:rPr>
          <w:rFonts w:ascii="標楷體" w:eastAsia="標楷體" w:hAnsi="標楷體" w:cs="標楷體, 微軟正黑體"/>
          <w:sz w:val="28"/>
          <w:szCs w:val="28"/>
        </w:rPr>
        <w:t>其他有助於提升輔導專業相關能力之方式。</w:t>
      </w:r>
    </w:p>
    <w:p w:rsidR="00FF0362" w:rsidRDefault="00E11906">
      <w:pPr>
        <w:pStyle w:val="Standard"/>
        <w:spacing w:line="400" w:lineRule="exact"/>
        <w:ind w:left="566" w:firstLine="566"/>
        <w:rPr>
          <w:rFonts w:ascii="標楷體" w:eastAsia="標楷體" w:hAnsi="標楷體" w:cs="標楷體, 微軟正黑體"/>
          <w:sz w:val="28"/>
          <w:szCs w:val="28"/>
        </w:rPr>
      </w:pPr>
      <w:r>
        <w:rPr>
          <w:rFonts w:ascii="標楷體" w:eastAsia="標楷體" w:hAnsi="標楷體" w:cs="標楷體, 微軟正黑體"/>
          <w:sz w:val="28"/>
          <w:szCs w:val="28"/>
        </w:rPr>
        <w:t>前項實施方式，得採分組、研討、工作坊或其他實作方式進行，以提升實務工作知能。</w:t>
      </w:r>
    </w:p>
    <w:p w:rsidR="00FF0362" w:rsidRDefault="00E11906">
      <w:pPr>
        <w:pStyle w:val="Standard"/>
        <w:spacing w:line="400" w:lineRule="exact"/>
        <w:ind w:left="566" w:hanging="566"/>
        <w:rPr>
          <w:rFonts w:ascii="標楷體" w:eastAsia="標楷體" w:hAnsi="標楷體" w:cs="標楷體, 微軟正黑體"/>
          <w:sz w:val="28"/>
          <w:szCs w:val="28"/>
        </w:rPr>
      </w:pPr>
      <w:r>
        <w:rPr>
          <w:rFonts w:ascii="標楷體" w:eastAsia="標楷體" w:hAnsi="標楷體" w:cs="標楷體, 微軟正黑體"/>
          <w:sz w:val="28"/>
          <w:szCs w:val="28"/>
        </w:rPr>
        <w:t>八、輔導人員應積極參與職前基礎培訓及在職進修課程，除不可抗力因素外，應全程參與，且聘用機關或學校應核給公</w:t>
      </w:r>
      <w:r>
        <w:rPr>
          <w:rFonts w:ascii="標楷體" w:eastAsia="標楷體" w:hAnsi="標楷體" w:cs="標楷體, 微軟正黑體"/>
          <w:sz w:val="28"/>
          <w:szCs w:val="28"/>
        </w:rPr>
        <w:t>(</w:t>
      </w:r>
      <w:r>
        <w:rPr>
          <w:rFonts w:ascii="標楷體" w:eastAsia="標楷體" w:hAnsi="標楷體" w:cs="標楷體, 微軟正黑體"/>
          <w:sz w:val="28"/>
          <w:szCs w:val="28"/>
        </w:rPr>
        <w:t>差</w:t>
      </w:r>
      <w:r>
        <w:rPr>
          <w:rFonts w:ascii="標楷體" w:eastAsia="標楷體" w:hAnsi="標楷體" w:cs="標楷體, 微軟正黑體"/>
          <w:sz w:val="28"/>
          <w:szCs w:val="28"/>
        </w:rPr>
        <w:t>)</w:t>
      </w:r>
      <w:r>
        <w:rPr>
          <w:rFonts w:ascii="標楷體" w:eastAsia="標楷體" w:hAnsi="標楷體" w:cs="標楷體, 微軟正黑體"/>
          <w:sz w:val="28"/>
          <w:szCs w:val="28"/>
        </w:rPr>
        <w:t>假。</w:t>
      </w:r>
    </w:p>
    <w:p w:rsidR="00FF0362" w:rsidRDefault="00E11906">
      <w:pPr>
        <w:pStyle w:val="Standard"/>
        <w:spacing w:line="400" w:lineRule="exact"/>
        <w:ind w:left="566" w:firstLine="566"/>
        <w:rPr>
          <w:rFonts w:ascii="標楷體" w:eastAsia="標楷體" w:hAnsi="標楷體" w:cs="標楷體, 微軟正黑體"/>
          <w:sz w:val="28"/>
          <w:szCs w:val="28"/>
        </w:rPr>
      </w:pPr>
      <w:r>
        <w:rPr>
          <w:rFonts w:ascii="標楷體" w:eastAsia="標楷體" w:hAnsi="標楷體" w:cs="標楷體, 微軟正黑體"/>
          <w:sz w:val="28"/>
          <w:szCs w:val="28"/>
        </w:rPr>
        <w:lastRenderedPageBreak/>
        <w:t>輔導主任或組長、輔導教師，因公</w:t>
      </w:r>
      <w:r>
        <w:rPr>
          <w:rFonts w:ascii="標楷體" w:eastAsia="標楷體" w:hAnsi="標楷體" w:cs="標楷體, 微軟正黑體"/>
          <w:sz w:val="28"/>
          <w:szCs w:val="28"/>
        </w:rPr>
        <w:t>(</w:t>
      </w:r>
      <w:r>
        <w:rPr>
          <w:rFonts w:ascii="標楷體" w:eastAsia="標楷體" w:hAnsi="標楷體" w:cs="標楷體, 微軟正黑體"/>
          <w:sz w:val="28"/>
          <w:szCs w:val="28"/>
        </w:rPr>
        <w:t>差</w:t>
      </w:r>
      <w:r>
        <w:rPr>
          <w:rFonts w:ascii="標楷體" w:eastAsia="標楷體" w:hAnsi="標楷體" w:cs="標楷體, 微軟正黑體"/>
          <w:sz w:val="28"/>
          <w:szCs w:val="28"/>
        </w:rPr>
        <w:t>)</w:t>
      </w:r>
      <w:r>
        <w:rPr>
          <w:rFonts w:ascii="標楷體" w:eastAsia="標楷體" w:hAnsi="標楷體" w:cs="標楷體, 微軟正黑體"/>
          <w:sz w:val="28"/>
          <w:szCs w:val="28"/>
        </w:rPr>
        <w:t>假期間所遺課務，應以調課方式處理或由學校遴聘合格人員代課，並核支代課鐘點費。</w:t>
      </w:r>
    </w:p>
    <w:p w:rsidR="00FF0362" w:rsidRDefault="00E11906">
      <w:pPr>
        <w:pStyle w:val="Standard"/>
        <w:spacing w:line="400" w:lineRule="exact"/>
        <w:ind w:left="566" w:firstLine="566"/>
        <w:rPr>
          <w:rFonts w:ascii="標楷體" w:eastAsia="標楷體" w:hAnsi="標楷體" w:cs="標楷體, 微軟正黑體"/>
          <w:sz w:val="28"/>
          <w:szCs w:val="28"/>
        </w:rPr>
      </w:pPr>
      <w:r>
        <w:rPr>
          <w:rFonts w:ascii="標楷體" w:eastAsia="標楷體" w:hAnsi="標楷體" w:cs="標楷體, 微軟正黑體"/>
          <w:sz w:val="28"/>
          <w:szCs w:val="28"/>
        </w:rPr>
        <w:t>輔導教師及專業輔導人員，依本法第十五條規定接受在職進修課程情形，納入其成績考核，成績優良者，應予獎勵。</w:t>
      </w:r>
    </w:p>
    <w:p w:rsidR="00FF0362" w:rsidRDefault="00E11906">
      <w:pPr>
        <w:pStyle w:val="Standard"/>
        <w:spacing w:line="400" w:lineRule="exact"/>
        <w:ind w:left="566" w:hanging="566"/>
        <w:rPr>
          <w:rFonts w:ascii="標楷體" w:eastAsia="標楷體" w:hAnsi="標楷體" w:cs="標楷體, 微軟正黑體"/>
          <w:sz w:val="28"/>
          <w:szCs w:val="28"/>
        </w:rPr>
      </w:pPr>
      <w:r>
        <w:rPr>
          <w:rFonts w:ascii="標楷體" w:eastAsia="標楷體" w:hAnsi="標楷體" w:cs="標楷體, 微軟正黑體"/>
          <w:sz w:val="28"/>
          <w:szCs w:val="28"/>
        </w:rPr>
        <w:t>九、專業輔導人員之繼續教育，應依其相關規定辦理。</w:t>
      </w:r>
    </w:p>
    <w:p w:rsidR="00FF0362" w:rsidRDefault="00E11906">
      <w:pPr>
        <w:pStyle w:val="Standard"/>
        <w:spacing w:line="400" w:lineRule="exact"/>
        <w:ind w:left="566" w:hanging="566"/>
      </w:pPr>
      <w:r>
        <w:rPr>
          <w:rFonts w:ascii="標楷體" w:eastAsia="標楷體" w:hAnsi="標楷體" w:cs="標楷體, 微軟正黑體"/>
          <w:sz w:val="28"/>
          <w:szCs w:val="28"/>
        </w:rPr>
        <w:t>十、各該主管機關委託開辦輔導人員在職進修課程之單位，應於開課二個月前，將課程內容函報各該主管機關備查。</w:t>
      </w:r>
    </w:p>
    <w:sectPr w:rsidR="00FF0362">
      <w:footerReference w:type="default" r:id="rId7"/>
      <w:pgSz w:w="11906" w:h="16838"/>
      <w:pgMar w:top="720" w:right="1134" w:bottom="1134" w:left="1134" w:header="720" w:footer="567" w:gutter="0"/>
      <w:pgNumType w:start="1"/>
      <w:cols w:space="720"/>
      <w:docGrid w:type="lines" w:linePitch="6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906" w:rsidRDefault="00E11906">
      <w:pPr>
        <w:rPr>
          <w:rFonts w:hint="eastAsia"/>
        </w:rPr>
      </w:pPr>
      <w:r>
        <w:separator/>
      </w:r>
    </w:p>
  </w:endnote>
  <w:endnote w:type="continuationSeparator" w:id="0">
    <w:p w:rsidR="00E11906" w:rsidRDefault="00E1190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PMingLiU">
    <w:charset w:val="00"/>
    <w:family w:val="roman"/>
    <w:pitch w:val="variable"/>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細明體, MingLiU">
    <w:charset w:val="00"/>
    <w:family w:val="modern"/>
    <w:pitch w:val="default"/>
  </w:font>
  <w:font w:name="標楷體, 微軟正黑體">
    <w:charset w:val="00"/>
    <w:family w:val="script"/>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F00" w:rsidRDefault="00E11906">
    <w:pPr>
      <w:pStyle w:val="a6"/>
      <w:jc w:val="center"/>
    </w:pPr>
    <w:r>
      <w:fldChar w:fldCharType="begin"/>
    </w:r>
    <w:r>
      <w:instrText xml:space="preserve"> PAGE </w:instrText>
    </w:r>
    <w:r>
      <w:fldChar w:fldCharType="separate"/>
    </w:r>
    <w:r w:rsidR="001F4F6F">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906" w:rsidRDefault="00E11906">
      <w:pPr>
        <w:rPr>
          <w:rFonts w:hint="eastAsia"/>
        </w:rPr>
      </w:pPr>
      <w:r>
        <w:rPr>
          <w:color w:val="000000"/>
        </w:rPr>
        <w:separator/>
      </w:r>
    </w:p>
  </w:footnote>
  <w:footnote w:type="continuationSeparator" w:id="0">
    <w:p w:rsidR="00E11906" w:rsidRDefault="00E1190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5B91"/>
    <w:multiLevelType w:val="multilevel"/>
    <w:tmpl w:val="341A3048"/>
    <w:styleLink w:val="WW8Num24"/>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140793F"/>
    <w:multiLevelType w:val="multilevel"/>
    <w:tmpl w:val="5142C1DA"/>
    <w:styleLink w:val="WW8Num18"/>
    <w:lvl w:ilvl="0">
      <w:start w:val="1"/>
      <w:numFmt w:val="japaneseCounting"/>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2" w15:restartNumberingAfterBreak="0">
    <w:nsid w:val="1BA71042"/>
    <w:multiLevelType w:val="multilevel"/>
    <w:tmpl w:val="EFAAE020"/>
    <w:styleLink w:val="WW8Num5"/>
    <w:lvl w:ilvl="0">
      <w:start w:val="1"/>
      <w:numFmt w:val="decimal"/>
      <w:lvlText w:val="%1、"/>
      <w:lvlJc w:val="left"/>
      <w:pPr>
        <w:ind w:left="708"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71805A9"/>
    <w:multiLevelType w:val="multilevel"/>
    <w:tmpl w:val="9AECDA0E"/>
    <w:styleLink w:val="WW8Num16"/>
    <w:lvl w:ilvl="0">
      <w:start w:val="1"/>
      <w:numFmt w:val="decimal"/>
      <w:lvlText w:val="%1、"/>
      <w:lvlJc w:val="left"/>
      <w:pPr>
        <w:ind w:left="708"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87E1B74"/>
    <w:multiLevelType w:val="multilevel"/>
    <w:tmpl w:val="D49E72E2"/>
    <w:styleLink w:val="WW8Num19"/>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4027640E"/>
    <w:multiLevelType w:val="multilevel"/>
    <w:tmpl w:val="54DAB5F8"/>
    <w:styleLink w:val="WW8Num12"/>
    <w:lvl w:ilvl="0">
      <w:start w:val="1"/>
      <w:numFmt w:val="decimal"/>
      <w:lvlText w:val="%1、"/>
      <w:lvlJc w:val="left"/>
      <w:pPr>
        <w:ind w:left="708"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42382C3E"/>
    <w:multiLevelType w:val="multilevel"/>
    <w:tmpl w:val="03761982"/>
    <w:styleLink w:val="WW8Num8"/>
    <w:lvl w:ilvl="0">
      <w:start w:val="1"/>
      <w:numFmt w:val="decimal"/>
      <w:lvlText w:val="%1、"/>
      <w:lvlJc w:val="left"/>
      <w:pPr>
        <w:ind w:left="708"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42B84E07"/>
    <w:multiLevelType w:val="multilevel"/>
    <w:tmpl w:val="45B22EDE"/>
    <w:styleLink w:val="WW8Num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450F0B1E"/>
    <w:multiLevelType w:val="multilevel"/>
    <w:tmpl w:val="4F52759E"/>
    <w:styleLink w:val="WW8Num3"/>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463529B0"/>
    <w:multiLevelType w:val="multilevel"/>
    <w:tmpl w:val="0846B1A4"/>
    <w:styleLink w:val="WW8Num2"/>
    <w:lvl w:ilvl="0">
      <w:start w:val="1"/>
      <w:numFmt w:val="decimal"/>
      <w:lvlText w:val="%1、"/>
      <w:lvlJc w:val="left"/>
      <w:pPr>
        <w:ind w:left="708"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46503594"/>
    <w:multiLevelType w:val="multilevel"/>
    <w:tmpl w:val="6546C122"/>
    <w:styleLink w:val="WW8Num22"/>
    <w:lvl w:ilvl="0">
      <w:start w:val="5"/>
      <w:numFmt w:val="japaneseCounting"/>
      <w:lvlText w:val="%1、"/>
      <w:lvlJc w:val="left"/>
      <w:pPr>
        <w:ind w:left="708"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98B11DF"/>
    <w:multiLevelType w:val="multilevel"/>
    <w:tmpl w:val="751E6DE6"/>
    <w:styleLink w:val="LFO27"/>
    <w:lvl w:ilvl="0">
      <w:start w:val="1"/>
      <w:numFmt w:val="ideographLegalTraditional"/>
      <w:pStyle w:val="a"/>
      <w:lvlText w:val="%1、"/>
      <w:lvlJc w:val="left"/>
      <w:pPr>
        <w:ind w:left="720" w:hanging="720"/>
      </w:pPr>
      <w:rPr>
        <w:b/>
        <w:sz w:val="32"/>
        <w:szCs w:val="32"/>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4A8F24A1"/>
    <w:multiLevelType w:val="multilevel"/>
    <w:tmpl w:val="E8128F86"/>
    <w:styleLink w:val="WW8Num13"/>
    <w:lvl w:ilvl="0">
      <w:start w:val="1"/>
      <w:numFmt w:val="decimal"/>
      <w:lvlText w:val="%1、"/>
      <w:lvlJc w:val="left"/>
      <w:pPr>
        <w:ind w:left="708"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E5A2B47"/>
    <w:multiLevelType w:val="multilevel"/>
    <w:tmpl w:val="0ADE3F88"/>
    <w:styleLink w:val="WW8Num25"/>
    <w:lvl w:ilvl="0">
      <w:start w:val="1"/>
      <w:numFmt w:val="upperLetter"/>
      <w:lvlText w:val="%1、"/>
      <w:lvlJc w:val="left"/>
      <w:pPr>
        <w:ind w:left="972" w:hanging="360"/>
      </w:pPr>
      <w:rPr>
        <w:rFonts w:ascii="Calibri" w:eastAsia="新細明體, PMingLiU" w:hAnsi="Calibri" w:cs="Calibri"/>
      </w:rPr>
    </w:lvl>
    <w:lvl w:ilvl="1">
      <w:start w:val="1"/>
      <w:numFmt w:val="ideographTraditional"/>
      <w:lvlText w:val="%2、"/>
      <w:lvlJc w:val="left"/>
      <w:pPr>
        <w:ind w:left="1572" w:hanging="480"/>
      </w:pPr>
    </w:lvl>
    <w:lvl w:ilvl="2">
      <w:start w:val="1"/>
      <w:numFmt w:val="lowerRoman"/>
      <w:lvlText w:val="%3."/>
      <w:lvlJc w:val="right"/>
      <w:pPr>
        <w:ind w:left="2052" w:hanging="480"/>
      </w:pPr>
    </w:lvl>
    <w:lvl w:ilvl="3">
      <w:start w:val="1"/>
      <w:numFmt w:val="decimal"/>
      <w:lvlText w:val="%4."/>
      <w:lvlJc w:val="left"/>
      <w:pPr>
        <w:ind w:left="2532" w:hanging="480"/>
      </w:pPr>
    </w:lvl>
    <w:lvl w:ilvl="4">
      <w:start w:val="1"/>
      <w:numFmt w:val="ideographTraditional"/>
      <w:lvlText w:val="%5、"/>
      <w:lvlJc w:val="left"/>
      <w:pPr>
        <w:ind w:left="3012" w:hanging="480"/>
      </w:pPr>
    </w:lvl>
    <w:lvl w:ilvl="5">
      <w:start w:val="1"/>
      <w:numFmt w:val="lowerRoman"/>
      <w:lvlText w:val="%6."/>
      <w:lvlJc w:val="right"/>
      <w:pPr>
        <w:ind w:left="3492" w:hanging="480"/>
      </w:pPr>
    </w:lvl>
    <w:lvl w:ilvl="6">
      <w:start w:val="1"/>
      <w:numFmt w:val="decimal"/>
      <w:lvlText w:val="%7."/>
      <w:lvlJc w:val="left"/>
      <w:pPr>
        <w:ind w:left="3972" w:hanging="480"/>
      </w:pPr>
    </w:lvl>
    <w:lvl w:ilvl="7">
      <w:start w:val="1"/>
      <w:numFmt w:val="ideographTraditional"/>
      <w:lvlText w:val="%8、"/>
      <w:lvlJc w:val="left"/>
      <w:pPr>
        <w:ind w:left="4452" w:hanging="480"/>
      </w:pPr>
    </w:lvl>
    <w:lvl w:ilvl="8">
      <w:start w:val="1"/>
      <w:numFmt w:val="lowerRoman"/>
      <w:lvlText w:val="%9."/>
      <w:lvlJc w:val="right"/>
      <w:pPr>
        <w:ind w:left="4932" w:hanging="480"/>
      </w:pPr>
    </w:lvl>
  </w:abstractNum>
  <w:abstractNum w:abstractNumId="14" w15:restartNumberingAfterBreak="0">
    <w:nsid w:val="4FA837EB"/>
    <w:multiLevelType w:val="multilevel"/>
    <w:tmpl w:val="DB0E5C2C"/>
    <w:styleLink w:val="WW8Num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57E64C45"/>
    <w:multiLevelType w:val="multilevel"/>
    <w:tmpl w:val="84BED8B8"/>
    <w:styleLink w:val="WW8Num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58951E05"/>
    <w:multiLevelType w:val="multilevel"/>
    <w:tmpl w:val="A2029766"/>
    <w:styleLink w:val="WW8Num14"/>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17" w15:restartNumberingAfterBreak="0">
    <w:nsid w:val="5B422E74"/>
    <w:multiLevelType w:val="multilevel"/>
    <w:tmpl w:val="C88AD2A0"/>
    <w:styleLink w:val="WW8Num1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62B51179"/>
    <w:multiLevelType w:val="multilevel"/>
    <w:tmpl w:val="19F0540E"/>
    <w:styleLink w:val="WW8Num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62B635CA"/>
    <w:multiLevelType w:val="multilevel"/>
    <w:tmpl w:val="63A2A30E"/>
    <w:styleLink w:val="WW8Num2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63561C5A"/>
    <w:multiLevelType w:val="multilevel"/>
    <w:tmpl w:val="D45ECF4E"/>
    <w:styleLink w:val="WW8Num26"/>
    <w:lvl w:ilvl="0">
      <w:start w:val="7"/>
      <w:numFmt w:val="japaneseCounting"/>
      <w:lvlText w:val="%1、"/>
      <w:lvlJc w:val="left"/>
      <w:pPr>
        <w:ind w:left="708"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65065FA4"/>
    <w:multiLevelType w:val="multilevel"/>
    <w:tmpl w:val="A59A8B94"/>
    <w:styleLink w:val="WW8Num15"/>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6AAC17E6"/>
    <w:multiLevelType w:val="multilevel"/>
    <w:tmpl w:val="1B5284DA"/>
    <w:styleLink w:val="WW8Num17"/>
    <w:lvl w:ilvl="0">
      <w:start w:val="1"/>
      <w:numFmt w:val="decimal"/>
      <w:lvlText w:val="%1、"/>
      <w:lvlJc w:val="left"/>
      <w:pPr>
        <w:ind w:left="708"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6D07668A"/>
    <w:multiLevelType w:val="multilevel"/>
    <w:tmpl w:val="0C1E459A"/>
    <w:styleLink w:val="WW8Num11"/>
    <w:lvl w:ilvl="0">
      <w:start w:val="4"/>
      <w:numFmt w:val="japaneseCounting"/>
      <w:lvlText w:val="%1、"/>
      <w:lvlJc w:val="left"/>
      <w:pPr>
        <w:ind w:left="708"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6D6F03B8"/>
    <w:multiLevelType w:val="multilevel"/>
    <w:tmpl w:val="BA76E37C"/>
    <w:styleLink w:val="WW8Num2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6F667263"/>
    <w:multiLevelType w:val="multilevel"/>
    <w:tmpl w:val="3A6EE508"/>
    <w:styleLink w:val="WW8Num23"/>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7D3D6978"/>
    <w:multiLevelType w:val="multilevel"/>
    <w:tmpl w:val="F3C8F08C"/>
    <w:styleLink w:val="WW8Num9"/>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4"/>
  </w:num>
  <w:num w:numId="2">
    <w:abstractNumId w:val="9"/>
  </w:num>
  <w:num w:numId="3">
    <w:abstractNumId w:val="8"/>
  </w:num>
  <w:num w:numId="4">
    <w:abstractNumId w:val="18"/>
  </w:num>
  <w:num w:numId="5">
    <w:abstractNumId w:val="2"/>
  </w:num>
  <w:num w:numId="6">
    <w:abstractNumId w:val="15"/>
  </w:num>
  <w:num w:numId="7">
    <w:abstractNumId w:val="7"/>
  </w:num>
  <w:num w:numId="8">
    <w:abstractNumId w:val="6"/>
  </w:num>
  <w:num w:numId="9">
    <w:abstractNumId w:val="26"/>
  </w:num>
  <w:num w:numId="10">
    <w:abstractNumId w:val="17"/>
  </w:num>
  <w:num w:numId="11">
    <w:abstractNumId w:val="23"/>
  </w:num>
  <w:num w:numId="12">
    <w:abstractNumId w:val="5"/>
  </w:num>
  <w:num w:numId="13">
    <w:abstractNumId w:val="12"/>
  </w:num>
  <w:num w:numId="14">
    <w:abstractNumId w:val="16"/>
  </w:num>
  <w:num w:numId="15">
    <w:abstractNumId w:val="21"/>
  </w:num>
  <w:num w:numId="16">
    <w:abstractNumId w:val="3"/>
  </w:num>
  <w:num w:numId="17">
    <w:abstractNumId w:val="22"/>
  </w:num>
  <w:num w:numId="18">
    <w:abstractNumId w:val="1"/>
  </w:num>
  <w:num w:numId="19">
    <w:abstractNumId w:val="4"/>
  </w:num>
  <w:num w:numId="20">
    <w:abstractNumId w:val="19"/>
  </w:num>
  <w:num w:numId="21">
    <w:abstractNumId w:val="24"/>
  </w:num>
  <w:num w:numId="22">
    <w:abstractNumId w:val="10"/>
  </w:num>
  <w:num w:numId="23">
    <w:abstractNumId w:val="25"/>
  </w:num>
  <w:num w:numId="24">
    <w:abstractNumId w:val="0"/>
  </w:num>
  <w:num w:numId="25">
    <w:abstractNumId w:val="13"/>
  </w:num>
  <w:num w:numId="26">
    <w:abstractNumId w:val="20"/>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FF0362"/>
    <w:rsid w:val="001F4F6F"/>
    <w:rsid w:val="00E11906"/>
    <w:rsid w:val="00FF03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62FD9F-DCB4-45BD-9507-2A859422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pPr>
      <w:suppressAutoHyphens/>
    </w:pPr>
    <w:rPr>
      <w:rFonts w:ascii="Calibri" w:eastAsia="新細明體, PMingLiU" w:hAnsi="Calibri" w:cs="Times New Roman"/>
      <w:szCs w:val="22"/>
      <w:lang w:bidi="ar-SA"/>
    </w:rPr>
  </w:style>
  <w:style w:type="paragraph" w:customStyle="1" w:styleId="Textbody">
    <w:name w:val="Text body"/>
    <w:basedOn w:val="Standard"/>
    <w:pPr>
      <w:spacing w:after="140" w:line="276" w:lineRule="auto"/>
    </w:p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styleId="a4">
    <w:name w:val="List"/>
    <w:basedOn w:val="Textbody"/>
    <w:rPr>
      <w:rFonts w:cs="Lucida Sans"/>
    </w:rPr>
  </w:style>
  <w:style w:type="paragraph" w:styleId="a5">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pPr>
      <w:suppressLineNumbers/>
      <w:tabs>
        <w:tab w:val="center" w:pos="4819"/>
        <w:tab w:val="right" w:pos="9638"/>
      </w:tabs>
    </w:pPr>
  </w:style>
  <w:style w:type="paragraph" w:styleId="a6">
    <w:name w:val="footer"/>
    <w:basedOn w:val="Standard"/>
    <w:pPr>
      <w:snapToGrid w:val="0"/>
    </w:pPr>
    <w:rPr>
      <w:rFonts w:ascii="Times New Roman" w:eastAsia="Times New Roman" w:hAnsi="Times New Roman"/>
      <w:kern w:val="0"/>
      <w:sz w:val="20"/>
      <w:szCs w:val="20"/>
    </w:rPr>
  </w:style>
  <w:style w:type="paragraph" w:styleId="a7">
    <w:name w:val="header"/>
    <w:basedOn w:val="Standard"/>
    <w:pPr>
      <w:snapToGrid w:val="0"/>
    </w:pPr>
    <w:rPr>
      <w:kern w:val="0"/>
      <w:sz w:val="20"/>
      <w:szCs w:val="20"/>
    </w:rPr>
  </w:style>
  <w:style w:type="paragraph" w:styleId="HTML">
    <w:name w:val="HTML Preformatted"/>
    <w:basedOn w:val="Standard"/>
    <w:pPr>
      <w:widowControl/>
    </w:pPr>
    <w:rPr>
      <w:rFonts w:ascii="細明體, MingLiU" w:eastAsia="細明體, MingLiU" w:hAnsi="細明體, MingLiU" w:cs="細明體, MingLiU"/>
      <w:kern w:val="0"/>
      <w:sz w:val="20"/>
      <w:szCs w:val="24"/>
    </w:rPr>
  </w:style>
  <w:style w:type="paragraph" w:customStyle="1" w:styleId="0221">
    <w:name w:val="0221"/>
    <w:basedOn w:val="Standard"/>
    <w:pPr>
      <w:widowControl/>
      <w:spacing w:before="280" w:after="280"/>
    </w:pPr>
    <w:rPr>
      <w:rFonts w:ascii="新細明體, PMingLiU" w:hAnsi="新細明體, PMingLiU" w:cs="新細明體, PMingLiU"/>
      <w:kern w:val="0"/>
      <w:szCs w:val="24"/>
    </w:rPr>
  </w:style>
  <w:style w:type="paragraph" w:customStyle="1" w:styleId="xl49">
    <w:name w:val="xl49"/>
    <w:basedOn w:val="Standard"/>
    <w:pPr>
      <w:widowControl/>
      <w:spacing w:before="280" w:after="280"/>
      <w:jc w:val="center"/>
    </w:pPr>
    <w:rPr>
      <w:rFonts w:ascii="標楷體, 微軟正黑體" w:eastAsia="標楷體, 微軟正黑體" w:hAnsi="標楷體, 微軟正黑體" w:cs="標楷體, 微軟正黑體"/>
      <w:b/>
      <w:bCs/>
      <w:kern w:val="0"/>
      <w:sz w:val="32"/>
      <w:szCs w:val="32"/>
    </w:rPr>
  </w:style>
  <w:style w:type="paragraph" w:styleId="a8">
    <w:name w:val="Balloon Text"/>
    <w:basedOn w:val="Standard"/>
    <w:rPr>
      <w:rFonts w:ascii="Cambria" w:eastAsia="Cambria" w:hAnsi="Cambria" w:cs="Cambria"/>
      <w:kern w:val="0"/>
      <w:sz w:val="18"/>
      <w:szCs w:val="18"/>
    </w:rPr>
  </w:style>
  <w:style w:type="paragraph" w:styleId="a9">
    <w:name w:val="List Paragraph"/>
    <w:basedOn w:val="Standard"/>
    <w:pPr>
      <w:ind w:left="480"/>
    </w:pPr>
  </w:style>
  <w:style w:type="paragraph" w:customStyle="1" w:styleId="0222">
    <w:name w:val="0222"/>
    <w:basedOn w:val="Standard"/>
    <w:pPr>
      <w:widowControl/>
      <w:spacing w:before="280" w:after="280"/>
    </w:pPr>
    <w:rPr>
      <w:rFonts w:ascii="新細明體, PMingLiU" w:hAnsi="新細明體, PMingLiU" w:cs="新細明體, PMingLiU"/>
      <w:kern w:val="0"/>
      <w:szCs w:val="24"/>
    </w:rPr>
  </w:style>
  <w:style w:type="paragraph" w:customStyle="1" w:styleId="aa">
    <w:name w:val="字元 字元 字元"/>
    <w:basedOn w:val="Standard"/>
    <w:pPr>
      <w:widowControl/>
      <w:spacing w:after="160" w:line="240" w:lineRule="exact"/>
    </w:pPr>
    <w:rPr>
      <w:rFonts w:ascii="Arial" w:eastAsia="Times New Roman" w:hAnsi="Arial" w:cs="Arial"/>
      <w:kern w:val="0"/>
      <w:sz w:val="20"/>
      <w:szCs w:val="20"/>
    </w:rPr>
  </w:style>
  <w:style w:type="paragraph" w:customStyle="1" w:styleId="0223">
    <w:name w:val="0223"/>
    <w:basedOn w:val="Standard"/>
    <w:pPr>
      <w:widowControl/>
      <w:spacing w:before="280" w:after="280"/>
    </w:pPr>
    <w:rPr>
      <w:rFonts w:ascii="新細明體, PMingLiU" w:hAnsi="新細明體, PMingLiU" w:cs="新細明體, PMingLiU"/>
      <w:kern w:val="0"/>
      <w:szCs w:val="24"/>
    </w:rPr>
  </w:style>
  <w:style w:type="paragraph" w:customStyle="1" w:styleId="0224">
    <w:name w:val="0224"/>
    <w:basedOn w:val="Standard"/>
    <w:pPr>
      <w:widowControl/>
      <w:spacing w:before="280" w:after="280"/>
    </w:pPr>
    <w:rPr>
      <w:rFonts w:ascii="新細明體, PMingLiU" w:hAnsi="新細明體, PMingLiU" w:cs="新細明體, PMingLiU"/>
      <w:kern w:val="0"/>
      <w:szCs w:val="24"/>
    </w:rPr>
  </w:style>
  <w:style w:type="paragraph" w:customStyle="1" w:styleId="0221-2">
    <w:name w:val="0221-2"/>
    <w:basedOn w:val="Standard"/>
    <w:pPr>
      <w:widowControl/>
      <w:spacing w:before="280" w:after="280"/>
    </w:pPr>
    <w:rPr>
      <w:rFonts w:ascii="新細明體, PMingLiU" w:hAnsi="新細明體, PMingLiU" w:cs="新細明體, PMingLiU"/>
      <w:kern w:val="0"/>
      <w:szCs w:val="24"/>
    </w:rPr>
  </w:style>
  <w:style w:type="paragraph" w:styleId="ab">
    <w:name w:val="annotation text"/>
    <w:basedOn w:val="Standard"/>
    <w:rPr>
      <w:rFonts w:ascii="Times New Roman" w:eastAsia="Times New Roman" w:hAnsi="Times New Roman"/>
      <w:szCs w:val="24"/>
    </w:rPr>
  </w:style>
  <w:style w:type="paragraph" w:styleId="Web">
    <w:name w:val="Normal (Web)"/>
    <w:basedOn w:val="Standard"/>
    <w:pPr>
      <w:widowControl/>
      <w:spacing w:before="280" w:after="280"/>
    </w:pPr>
    <w:rPr>
      <w:rFonts w:ascii="新細明體, PMingLiU" w:hAnsi="新細明體, PMingLiU" w:cs="新細明體, PMingLiU"/>
      <w:kern w:val="0"/>
      <w:szCs w:val="24"/>
    </w:rPr>
  </w:style>
  <w:style w:type="paragraph" w:styleId="ac">
    <w:name w:val="annotation subject"/>
    <w:basedOn w:val="ab"/>
    <w:next w:val="ab"/>
    <w:rPr>
      <w:b/>
      <w:bCs/>
      <w:szCs w:val="22"/>
    </w:rPr>
  </w:style>
  <w:style w:type="paragraph" w:customStyle="1" w:styleId="Textbodyindent">
    <w:name w:val="Text body indent"/>
    <w:basedOn w:val="Standard"/>
    <w:pPr>
      <w:snapToGrid w:val="0"/>
      <w:spacing w:line="360" w:lineRule="exact"/>
      <w:ind w:left="212" w:hanging="238"/>
    </w:pPr>
    <w:rPr>
      <w:rFonts w:ascii="Times New Roman" w:eastAsia="標楷體, 微軟正黑體" w:hAnsi="Times New Roman"/>
      <w:sz w:val="28"/>
      <w:szCs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a">
    <w:name w:val="主旨說明"/>
    <w:basedOn w:val="Textbody"/>
    <w:autoRedefine/>
    <w:pPr>
      <w:widowControl/>
      <w:numPr>
        <w:numId w:val="27"/>
      </w:numPr>
      <w:tabs>
        <w:tab w:val="left" w:pos="-3600"/>
        <w:tab w:val="left" w:leader="underscore" w:pos="2880"/>
      </w:tabs>
      <w:suppressAutoHyphens w:val="0"/>
      <w:spacing w:line="480" w:lineRule="exact"/>
      <w:textAlignment w:val="auto"/>
    </w:pPr>
    <w:rPr>
      <w:rFonts w:ascii="標楷體" w:eastAsia="標楷體" w:hAnsi="標楷體"/>
      <w:b/>
      <w:sz w:val="32"/>
      <w:szCs w:val="32"/>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Wingdings" w:eastAsia="Wingdings" w:hAnsi="Wingdings" w:cs="Wingdings"/>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alibri" w:eastAsia="新細明體, PMingLiU" w:hAnsi="Calibri"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ad">
    <w:name w:val="頁尾 字元"/>
    <w:rPr>
      <w:rFonts w:ascii="Times New Roman" w:eastAsia="新細明體, PMingLiU" w:hAnsi="Times New Roman" w:cs="Times New Roman"/>
      <w:sz w:val="20"/>
      <w:szCs w:val="20"/>
    </w:rPr>
  </w:style>
  <w:style w:type="character" w:styleId="ae">
    <w:name w:val="page number"/>
    <w:basedOn w:val="a1"/>
  </w:style>
  <w:style w:type="character" w:customStyle="1" w:styleId="af">
    <w:name w:val="頁首 字元"/>
    <w:rPr>
      <w:sz w:val="20"/>
      <w:szCs w:val="20"/>
    </w:rPr>
  </w:style>
  <w:style w:type="character" w:customStyle="1" w:styleId="HTML0">
    <w:name w:val="HTML 預設格式 字元"/>
    <w:rPr>
      <w:rFonts w:ascii="細明體, MingLiU" w:eastAsia="細明體, MingLiU" w:hAnsi="細明體, MingLiU" w:cs="細明體, MingLiU"/>
      <w:kern w:val="0"/>
      <w:szCs w:val="24"/>
    </w:rPr>
  </w:style>
  <w:style w:type="character" w:customStyle="1" w:styleId="af0">
    <w:name w:val="註解方塊文字 字元"/>
    <w:rPr>
      <w:rFonts w:ascii="Cambria" w:eastAsia="新細明體, PMingLiU" w:hAnsi="Cambria" w:cs="Times New Roman"/>
      <w:sz w:val="18"/>
      <w:szCs w:val="18"/>
    </w:rPr>
  </w:style>
  <w:style w:type="character" w:styleId="af1">
    <w:name w:val="annotation reference"/>
    <w:rPr>
      <w:sz w:val="18"/>
      <w:szCs w:val="18"/>
    </w:rPr>
  </w:style>
  <w:style w:type="character" w:customStyle="1" w:styleId="af2">
    <w:name w:val="註解文字 字元"/>
    <w:rPr>
      <w:rFonts w:ascii="Times New Roman" w:eastAsia="Times New Roman" w:hAnsi="Times New Roman" w:cs="Times New Roman"/>
      <w:kern w:val="3"/>
      <w:sz w:val="24"/>
      <w:szCs w:val="24"/>
    </w:rPr>
  </w:style>
  <w:style w:type="character" w:styleId="af3">
    <w:name w:val="Emphasis"/>
    <w:rPr>
      <w:i/>
      <w:iCs/>
    </w:rPr>
  </w:style>
  <w:style w:type="character" w:customStyle="1" w:styleId="af4">
    <w:name w:val="註解主旨 字元"/>
    <w:rPr>
      <w:rFonts w:ascii="Times New Roman" w:eastAsia="Times New Roman" w:hAnsi="Times New Roman" w:cs="Times New Roman"/>
      <w:b/>
      <w:bCs/>
      <w:kern w:val="3"/>
      <w:sz w:val="24"/>
      <w:szCs w:val="22"/>
    </w:rPr>
  </w:style>
  <w:style w:type="character" w:customStyle="1" w:styleId="af5">
    <w:name w:val="本文縮排 字元"/>
    <w:rPr>
      <w:rFonts w:ascii="Times New Roman" w:eastAsia="標楷體, 微軟正黑體" w:hAnsi="Times New Roman" w:cs="Times New Roman"/>
      <w:kern w:val="3"/>
      <w:sz w:val="28"/>
      <w:szCs w:val="24"/>
    </w:rPr>
  </w:style>
  <w:style w:type="numbering" w:customStyle="1" w:styleId="WW8Num1">
    <w:name w:val="WW8Num1"/>
    <w:basedOn w:val="a3"/>
    <w:pPr>
      <w:numPr>
        <w:numId w:val="1"/>
      </w:numPr>
    </w:pPr>
  </w:style>
  <w:style w:type="numbering" w:customStyle="1" w:styleId="WW8Num2">
    <w:name w:val="WW8Num2"/>
    <w:basedOn w:val="a3"/>
    <w:pPr>
      <w:numPr>
        <w:numId w:val="2"/>
      </w:numPr>
    </w:pPr>
  </w:style>
  <w:style w:type="numbering" w:customStyle="1" w:styleId="WW8Num3">
    <w:name w:val="WW8Num3"/>
    <w:basedOn w:val="a3"/>
    <w:pPr>
      <w:numPr>
        <w:numId w:val="3"/>
      </w:numPr>
    </w:pPr>
  </w:style>
  <w:style w:type="numbering" w:customStyle="1" w:styleId="WW8Num4">
    <w:name w:val="WW8Num4"/>
    <w:basedOn w:val="a3"/>
    <w:pPr>
      <w:numPr>
        <w:numId w:val="4"/>
      </w:numPr>
    </w:pPr>
  </w:style>
  <w:style w:type="numbering" w:customStyle="1" w:styleId="WW8Num5">
    <w:name w:val="WW8Num5"/>
    <w:basedOn w:val="a3"/>
    <w:pPr>
      <w:numPr>
        <w:numId w:val="5"/>
      </w:numPr>
    </w:pPr>
  </w:style>
  <w:style w:type="numbering" w:customStyle="1" w:styleId="WW8Num6">
    <w:name w:val="WW8Num6"/>
    <w:basedOn w:val="a3"/>
    <w:pPr>
      <w:numPr>
        <w:numId w:val="6"/>
      </w:numPr>
    </w:pPr>
  </w:style>
  <w:style w:type="numbering" w:customStyle="1" w:styleId="WW8Num7">
    <w:name w:val="WW8Num7"/>
    <w:basedOn w:val="a3"/>
    <w:pPr>
      <w:numPr>
        <w:numId w:val="7"/>
      </w:numPr>
    </w:pPr>
  </w:style>
  <w:style w:type="numbering" w:customStyle="1" w:styleId="WW8Num8">
    <w:name w:val="WW8Num8"/>
    <w:basedOn w:val="a3"/>
    <w:pPr>
      <w:numPr>
        <w:numId w:val="8"/>
      </w:numPr>
    </w:pPr>
  </w:style>
  <w:style w:type="numbering" w:customStyle="1" w:styleId="WW8Num9">
    <w:name w:val="WW8Num9"/>
    <w:basedOn w:val="a3"/>
    <w:pPr>
      <w:numPr>
        <w:numId w:val="9"/>
      </w:numPr>
    </w:pPr>
  </w:style>
  <w:style w:type="numbering" w:customStyle="1" w:styleId="WW8Num10">
    <w:name w:val="WW8Num10"/>
    <w:basedOn w:val="a3"/>
    <w:pPr>
      <w:numPr>
        <w:numId w:val="10"/>
      </w:numPr>
    </w:pPr>
  </w:style>
  <w:style w:type="numbering" w:customStyle="1" w:styleId="WW8Num11">
    <w:name w:val="WW8Num11"/>
    <w:basedOn w:val="a3"/>
    <w:pPr>
      <w:numPr>
        <w:numId w:val="11"/>
      </w:numPr>
    </w:pPr>
  </w:style>
  <w:style w:type="numbering" w:customStyle="1" w:styleId="WW8Num12">
    <w:name w:val="WW8Num12"/>
    <w:basedOn w:val="a3"/>
    <w:pPr>
      <w:numPr>
        <w:numId w:val="12"/>
      </w:numPr>
    </w:pPr>
  </w:style>
  <w:style w:type="numbering" w:customStyle="1" w:styleId="WW8Num13">
    <w:name w:val="WW8Num13"/>
    <w:basedOn w:val="a3"/>
    <w:pPr>
      <w:numPr>
        <w:numId w:val="13"/>
      </w:numPr>
    </w:pPr>
  </w:style>
  <w:style w:type="numbering" w:customStyle="1" w:styleId="WW8Num14">
    <w:name w:val="WW8Num14"/>
    <w:basedOn w:val="a3"/>
    <w:pPr>
      <w:numPr>
        <w:numId w:val="14"/>
      </w:numPr>
    </w:pPr>
  </w:style>
  <w:style w:type="numbering" w:customStyle="1" w:styleId="WW8Num15">
    <w:name w:val="WW8Num15"/>
    <w:basedOn w:val="a3"/>
    <w:pPr>
      <w:numPr>
        <w:numId w:val="15"/>
      </w:numPr>
    </w:pPr>
  </w:style>
  <w:style w:type="numbering" w:customStyle="1" w:styleId="WW8Num16">
    <w:name w:val="WW8Num16"/>
    <w:basedOn w:val="a3"/>
    <w:pPr>
      <w:numPr>
        <w:numId w:val="16"/>
      </w:numPr>
    </w:pPr>
  </w:style>
  <w:style w:type="numbering" w:customStyle="1" w:styleId="WW8Num17">
    <w:name w:val="WW8Num17"/>
    <w:basedOn w:val="a3"/>
    <w:pPr>
      <w:numPr>
        <w:numId w:val="17"/>
      </w:numPr>
    </w:pPr>
  </w:style>
  <w:style w:type="numbering" w:customStyle="1" w:styleId="WW8Num18">
    <w:name w:val="WW8Num18"/>
    <w:basedOn w:val="a3"/>
    <w:pPr>
      <w:numPr>
        <w:numId w:val="18"/>
      </w:numPr>
    </w:pPr>
  </w:style>
  <w:style w:type="numbering" w:customStyle="1" w:styleId="WW8Num19">
    <w:name w:val="WW8Num19"/>
    <w:basedOn w:val="a3"/>
    <w:pPr>
      <w:numPr>
        <w:numId w:val="19"/>
      </w:numPr>
    </w:pPr>
  </w:style>
  <w:style w:type="numbering" w:customStyle="1" w:styleId="WW8Num20">
    <w:name w:val="WW8Num20"/>
    <w:basedOn w:val="a3"/>
    <w:pPr>
      <w:numPr>
        <w:numId w:val="20"/>
      </w:numPr>
    </w:pPr>
  </w:style>
  <w:style w:type="numbering" w:customStyle="1" w:styleId="WW8Num21">
    <w:name w:val="WW8Num21"/>
    <w:basedOn w:val="a3"/>
    <w:pPr>
      <w:numPr>
        <w:numId w:val="21"/>
      </w:numPr>
    </w:pPr>
  </w:style>
  <w:style w:type="numbering" w:customStyle="1" w:styleId="WW8Num22">
    <w:name w:val="WW8Num22"/>
    <w:basedOn w:val="a3"/>
    <w:pPr>
      <w:numPr>
        <w:numId w:val="22"/>
      </w:numPr>
    </w:pPr>
  </w:style>
  <w:style w:type="numbering" w:customStyle="1" w:styleId="WW8Num23">
    <w:name w:val="WW8Num23"/>
    <w:basedOn w:val="a3"/>
    <w:pPr>
      <w:numPr>
        <w:numId w:val="23"/>
      </w:numPr>
    </w:pPr>
  </w:style>
  <w:style w:type="numbering" w:customStyle="1" w:styleId="WW8Num24">
    <w:name w:val="WW8Num24"/>
    <w:basedOn w:val="a3"/>
    <w:pPr>
      <w:numPr>
        <w:numId w:val="24"/>
      </w:numPr>
    </w:pPr>
  </w:style>
  <w:style w:type="numbering" w:customStyle="1" w:styleId="WW8Num25">
    <w:name w:val="WW8Num25"/>
    <w:basedOn w:val="a3"/>
    <w:pPr>
      <w:numPr>
        <w:numId w:val="25"/>
      </w:numPr>
    </w:pPr>
  </w:style>
  <w:style w:type="numbering" w:customStyle="1" w:styleId="WW8Num26">
    <w:name w:val="WW8Num26"/>
    <w:basedOn w:val="a3"/>
    <w:pPr>
      <w:numPr>
        <w:numId w:val="26"/>
      </w:numPr>
    </w:pPr>
  </w:style>
  <w:style w:type="numbering" w:customStyle="1" w:styleId="LFO27">
    <w:name w:val="LFO27"/>
    <w:basedOn w:val="a3"/>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Downloads/90449350_1110043408B_ATT3.od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moejsmpc</dc:creator>
  <cp:lastModifiedBy>Teacher</cp:lastModifiedBy>
  <cp:revision>2</cp:revision>
  <cp:lastPrinted>2021-03-02T10:49:00Z</cp:lastPrinted>
  <dcterms:created xsi:type="dcterms:W3CDTF">2022-05-13T05:21:00Z</dcterms:created>
  <dcterms:modified xsi:type="dcterms:W3CDTF">2022-05-13T05:21:00Z</dcterms:modified>
</cp:coreProperties>
</file>